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TAmbV — Anzahl an Traumaambulanzen</w:t>
      </w:r>
    </w:p>
    <w:p>
      <w:r>
        <w:rPr>
          <w:color w:val="555555"/>
          <w:sz w:val="18"/>
        </w:rPr>
        <w:t xml:space="preserve">Traumaambulanz-Verordnung</w:t>
      </w:r>
    </w:p>
    <w:p>
      <w:r>
        <w:rPr>
          <w:color w:val="555555"/>
          <w:sz w:val="18"/>
        </w:rPr>
        <w:t xml:space="preserve">Stand: 01.01.2024 (konsolidierte Textfassung, kein amtliches Inkrafttretensdatum)</w:t>
      </w:r>
    </w:p>
    <w:p>
      <w:r>
        <w:t xml:space="preserve">(1) Vereinbarungen über die Erbringung von Leistungen der Traumaambulanz für Erwachsene sowie für Kinder und Jugendliche sind von den nach Landesrecht zuständigen Behörden mit einer ausreichenden Zahl von Einrichtungen zu schließen.</w:t>
      </w:r>
    </w:p>
    <w:p>
      <w:r>
        <w:t xml:space="preserve">(2) Die Anzahl ist ausreichend, wenn eine Traumaambulanz nach einer zumutbaren Fahrzeit erreicht werden kann. In der Regel ist eine Fahrzeit mit einem Kraftfahrzeug oder öffentlichen Verkehrsmitteln von einer Stunde vom Wohnort des oder der Leistungsberechtigten bis zur Traumaambulanz zumutbar. Die Zumutbarkeit ist unabhängig von Satz 2 gegeben, wenn die Leistungen der Traumaambulanz am jeweiligen Wohnort des oder der Leistungsberechtigten erbracht werden.</w:t>
      </w:r>
    </w:p>
    <w:p>
      <w:r>
        <w:t xml:space="preserve">(3) Abweichend von Absatz 2 ist die Anzahl der Traumaambulanzen auch dann ausreichend, wenn die Traumaambulanz nach einer Fahrzeit von einer Stunde und 30 Minuten erreicht werden kann, wenn anderenfalls die Versorgung mit Traumaambulanzen nicht sichergestellt werden kann.</w:t>
      </w:r>
    </w:p>
    <w:p>
      <w:r>
        <w:rPr>
          <w:color w:val="555555"/>
          <w:sz w:val="17"/>
        </w:rPr>
        <w:t xml:space="preserve">Zitiervorschlag: § 7 TAmbV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