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TAmbV — Qualifikationsanforderungen bei Behandlung von Erwachsenen</w:t>
      </w:r>
    </w:p>
    <w:p>
      <w:r>
        <w:rPr>
          <w:color w:val="555555"/>
          <w:sz w:val="18"/>
        </w:rPr>
        <w:t xml:space="preserve">Traumaambulanz-Verordnung</w:t>
      </w:r>
    </w:p>
    <w:p>
      <w:r>
        <w:rPr>
          <w:color w:val="555555"/>
          <w:sz w:val="18"/>
        </w:rPr>
        <w:t xml:space="preserve">Stand: 01.01.2024 (konsolidierte Textfassung, kein amtliches Inkrafttretensdatum)</w:t>
      </w:r>
    </w:p>
    <w:p>
      <w:r>
        <w:t xml:space="preserve">(1) Für die Behandlung von Erwachsenen setzt die Traumaambulanz Mitarbeiter und Mitarbeiterinnen ein, die eine der folgenden Berufsqualifikationen aufweisen:</w:t>
      </w:r>
    </w:p>
    <w:p>
      <w:pPr>
        <w:ind w:left="420"/>
      </w:pPr>
      <w:r>
        <w:t xml:space="preserve">1. Facharzt für Psychiatrie und Psychotherapie oder Fachärztin für Psychiatrie und Psychotherapie,</w:t>
      </w:r>
    </w:p>
    <w:p>
      <w:pPr>
        <w:ind w:left="420"/>
      </w:pPr>
      <w:r>
        <w:t xml:space="preserve">2. Facharzt für Psychosomatische Medizin und Psychotherapie oder Fachärztin für Psychosomatische Medizin und Psychotherapie,</w:t>
      </w:r>
    </w:p>
    <w:p>
      <w:pPr>
        <w:ind w:left="420"/>
      </w:pPr>
      <w:r>
        <w:t xml:space="preserve">3. Facharzt für Psychotherapeutische Medizin oder Fachärztin für Psychotherapeutische Medizin,</w:t>
      </w:r>
    </w:p>
    <w:p>
      <w:pPr>
        <w:ind w:left="420"/>
      </w:pPr>
      <w:r>
        <w:t xml:space="preserve">4. Psychologischer Psychotherapeut oder Psychologische Psychotherapeutin oder</w:t>
      </w:r>
    </w:p>
    <w:p>
      <w:pPr>
        <w:ind w:left="420"/>
      </w:pPr>
      <w:r>
        <w:t xml:space="preserve">5. Psychotherapeut mit einer Weiterbildung im Sinne des § 95c Absatz 1 Satz 1 Nummer 2 Buchstabe a des Fünften Buches Sozialgesetzbuch oder Psychotherapeutin mit einer solchen Weiterbildung.</w:t>
      </w:r>
    </w:p>
    <w:p>
      <w:r>
        <w:t xml:space="preserve">(2) Die in Absatz 1 genannten Mitarbeiter und Mitarbeiterinnen müssen für die Behandlung von Erwachsenen in einer Traumaambulanz über eine traumaspezifische Qualifikation verfügen, die</w:t>
      </w:r>
    </w:p>
    <w:p>
      <w:pPr>
        <w:ind w:left="420"/>
      </w:pPr>
      <w:r>
        <w:t xml:space="preserve">1. durch die zuständige Landesärztekammer oder Landespsychotherapeutenkammer zertifiziert ist und</w:t>
      </w:r>
    </w:p>
    <w:p>
      <w:pPr>
        <w:ind w:left="420"/>
      </w:pPr>
      <w:r>
        <w:t xml:space="preserve">2. zumindest den Inhalten der Module I und II des Curriculums nach Anlage 1 entspricht.</w:t>
      </w:r>
    </w:p>
    <w:p>
      <w:r>
        <w:t xml:space="preserve">Satz 1 gilt nicht, wenn die in Satz 1 Nummer 2 genannten Inhalte oder vergleichbare Inhalte bereits Gegenstand einer Weiterbildung, Zusatzweiterbildung oder postgraduierter Ausbildung der in Absatz 1 genannten Mitarbeiter und Mitarbeiterinnen waren. Es genügt, wenn die in Satz 1 genannte Qualifikation spätestens ein Jahr nach Aufnahme der Tätigkeit in der Traumaambulanz vorliegt.</w:t>
      </w:r>
    </w:p>
    <w:p>
      <w:r>
        <w:t xml:space="preserve">(3) Von den in Absatz 2 genannten Anforderungen kann für die Dauer der Laufzeit der zwischen der nach Landesrecht zuständigen Behörde und der Traumaambulanz abgeschlossenen Vereinbarung abgewichen werden, wenn die Versorgung mit einer ausreichenden Anzahl an Traumaambulanzen anderenfalls nicht sichergestellt werden kann. Die Versorgung mit Traumaambulanzen ist dann nicht ausreichend, wenn die Anzahl der Traumaambulanzen so gering ist, dass Leistungsberechtigte eine Traumaambulanz nicht nach einer zumutbaren Fahrzeit im Sinne des § 7 Absatz 2 erreichen können.</w:t>
      </w:r>
    </w:p>
    <w:p>
      <w:r>
        <w:rPr>
          <w:color w:val="555555"/>
          <w:sz w:val="17"/>
        </w:rPr>
        <w:t xml:space="preserve">Zitiervorschlag: § 3 TAmbV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