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TAV</w:t>
      </w:r>
    </w:p>
    <w:p>
      <w:r>
        <w:rPr>
          <w:color w:val="555555"/>
          <w:sz w:val="18"/>
        </w:rPr>
        <w:t xml:space="preserve">Therapieallergene-Verordnung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1 Nr. 2 und Abs. 2 sowie des § 80 Satz 1 Nr. 1 und 2 des Arzneimittelgesetzes in der Fassung der Bekanntmachung des Gesetzes vom 12. Dezember 2005 (BGBl. I S. 3394) verordnet das Bundesministerium für Gesundheit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