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TAV — Inkrafttreten</w:t>
      </w:r>
    </w:p>
    <w:p>
      <w:r>
        <w:rPr>
          <w:color w:val="555555"/>
          <w:sz w:val="18"/>
        </w:rPr>
        <w:t xml:space="preserve">Therapieallergene-Verordnung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