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TAV — Zulassungspflicht</w:t>
      </w:r>
    </w:p>
    <w:p>
      <w:r>
        <w:rPr>
          <w:color w:val="555555"/>
          <w:sz w:val="18"/>
        </w:rPr>
        <w:t xml:space="preserve">Therapieallergene-Verordnung</w:t>
      </w:r>
    </w:p>
    <w:p>
      <w:r>
        <w:rPr>
          <w:color w:val="555555"/>
          <w:sz w:val="18"/>
        </w:rPr>
        <w:t xml:space="preserve">Stand: 10.06.2019 (konsolidierte Textfassung, kein amtliches Inkrafttretensdatum)</w:t>
      </w:r>
    </w:p>
    <w:p>
      <w:r>
        <w:t xml:space="preserve">Die Vorschriften des Arzneimittelgesetzes über die Zulassung der Arzneimittel werden auf Therapieallergene ausgedehnt, die für einzelne Personen auf Grund einer Rezeptur aus vorgefertigten Gebinden hergestellt werden und eines oder mehrere der im Anhang aufgeführten Allergene enthalten.</w:t>
      </w:r>
    </w:p>
    <w:p>
      <w:r>
        <w:rPr>
          <w:color w:val="555555"/>
          <w:sz w:val="17"/>
        </w:rPr>
        <w:t xml:space="preserve">Zitiervorschlag: § 1 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