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TAMWHV — Anwendungsbereich</w:t>
      </w:r>
    </w:p>
    <w:p>
      <w:r>
        <w:rPr>
          <w:color w:val="555555"/>
          <w:sz w:val="18"/>
        </w:rPr>
        <w:t xml:space="preserve">Tierarzneimittel- und Wirkstoffherstellungsverordnung</w:t>
      </w:r>
    </w:p>
    <w:p>
      <w:r>
        <w:rPr>
          <w:color w:val="555555"/>
          <w:sz w:val="18"/>
        </w:rPr>
        <w:t xml:space="preserve">Stand: 16.03.2023 (konsolidierte Textfassung, kein amtliches Inkrafttretensdatum)</w:t>
      </w:r>
    </w:p>
    <w:p>
      <w:r>
        <w:t xml:space="preserve">(1) Diese Verordnung regelt Anforderungen an die Gute Herstellungspraxis von Tierarzneimitteln und veterinärmedizintechnischen Produkten im Sinne des § 3 Absatz 3 Nummer 1 des Tierarzneimittelgesetzes und von Wirkstoffen, die als Ausgangsstoffe für Tierarzneimittel dienen.</w:t>
      </w:r>
    </w:p>
    <w:p>
      <w:r>
        <w:t xml:space="preserve">(2) Die Verordnung ist anzuwenden auf Personen, Betriebe und Einrichtungen, die einer Erlaubnis nach Artikel 88 Absatz 1 der Verordnung (EU) 2019/6 des Europäischen Parlaments und des Rates vom 11. Dezember 2018 über Tierarzneimittel und zur Aufhebung der Richtlinie 2001/82/EG (ABl. L 4 vom 7.1.2019, S. 43; L 163 vom 20.6.2019, S. 112; L 326 vom 8.10.2020, S. 15; L 241 vom 8.7.2021, S. 17; L 151 vom 2.6.2022, S. 74), die durch die Delegierte Verordnung (EU) 2021/805 (ABl. L 180 vom 21.5.2021, S. 3) geändert worden ist, oder § 28 Absatz 1 des Tierarzneimittelgesetzes bedürfen. Sie ist auch anzuwenden auf die Herstellung und Einfuhr von Wirkstoffen, die als Ausgangsstoffe für Tierarzneimittel dienen.</w:t>
      </w:r>
    </w:p>
    <w:p>
      <w:r>
        <w:t xml:space="preserve">(3) Die Anforderungen dieser Verordnung gelten nicht für</w:t>
      </w:r>
    </w:p>
    <w:p>
      <w:pPr>
        <w:ind w:left="420"/>
      </w:pPr>
      <w:r>
        <w:t xml:space="preserve">1. Tierarzneimittel, die weder gewerblich zubereitet wurden noch bei deren Zubereitung ein industrielles Verfahren angewendet wurde,</w:t>
      </w:r>
    </w:p>
    <w:p>
      <w:pPr>
        <w:ind w:left="420"/>
      </w:pPr>
      <w:r>
        <w:t xml:space="preserve">2. Stoffe, die im Homöopathischen Arzneibuch aufgeführt sind und die zur Herstellung von homöopathischen Zubereitungen als Ausgangsstoffe für homöopathische Tierarzneimittel eingesetzt werden,</w:t>
      </w:r>
    </w:p>
    <w:p>
      <w:pPr>
        <w:ind w:left="420"/>
      </w:pPr>
      <w:r>
        <w:t xml:space="preserve">3. Wirkstoffe für Ektoparasitika zur Anwendung an Tieren oder</w:t>
      </w:r>
    </w:p>
    <w:p>
      <w:pPr>
        <w:ind w:left="420"/>
      </w:pPr>
      <w:r>
        <w:t xml:space="preserve">4. Wirkstoffe für nach § 4 Absatz 1 des Tierarzneimittelgesetzes von der Pflicht zur Zulassung freigestellte Tierarzneimittel.</w:t>
      </w:r>
    </w:p>
    <w:p>
      <w:r>
        <w:t xml:space="preserve">Durch die Einhaltung vergleichbarer Standards und Verfahren ist sicherzustellen, dass die Qualität der Herstellung und Prüfung gleichwertig zu den in dieser Verordnung festgelegten Anforderungen ist.</w:t>
      </w:r>
    </w:p>
    <w:p>
      <w:r>
        <w:t xml:space="preserve">(4) Die Verordnung gilt nicht für die Sammlung und Entsorgung von Abfällen von Tierarzneimitteln.</w:t>
      </w:r>
    </w:p>
    <w:p>
      <w:r>
        <w:rPr>
          <w:color w:val="555555"/>
          <w:sz w:val="17"/>
        </w:rPr>
        <w:t xml:space="preserve">Zitiervorschlag: § 1 TAMWHV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https://recht.nulegal.eu/gesetze/TAMWHV/1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