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TAMMitDurchfV</w:t>
      </w:r>
    </w:p>
    <w:p>
      <w:r>
        <w:rPr>
          <w:color w:val="555555"/>
          <w:sz w:val="18"/>
        </w:rPr>
        <w:t xml:space="preserve">Tierarzneimittel-Mitteilungendurchführungsverordnung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Auf Grund des § 58e Absatz 1 Satz 1 in Verbindung mit Satz 2 Nummer 2 und Satz 3 des Arzneimittelgesetzes in der Fassung der Bekanntmachung vom 12. Dezember 2005 (BGBl. I S. 3394), der durch Artikel 1 Nummer 7 des Gesetzes vom 10. Oktober 2013 (BGBl. I S. 3813; 2014 I S. 272) eingefügt worden ist, in Verbindung mit § 1 Absatz 2 des Zuständigkeitsanpassungsgesetzes vom 16. August 2002 (BGBl. I S. 3165) und dem Organisationserlass vom 17. Dezember 2013 (BGBl. I S. 4310) verordnet das Bundesministerium für Ernährung und Landwirtschaft im Einvernehmen mit dem Bundesministerium für Gesundheit:</w:t>
      </w:r>
    </w:p>
    <w:p>
      <w:r>
        <w:rPr>
          <w:color w:val="555555"/>
          <w:sz w:val="17"/>
        </w:rPr>
        <w:t xml:space="preserve">Zitiervorschlag: Eingangsformel TAMMitDurchfV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https://recht.nulegal.eu/gesetze/TAMMitDurchfV/eingangsformel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