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TAMMitDurchfV — Inkrafttreten</w:t>
      </w:r>
    </w:p>
    <w:p>
      <w:r>
        <w:rPr>
          <w:color w:val="555555"/>
          <w:sz w:val="18"/>
        </w:rPr>
        <w:t xml:space="preserve">Tierarzneimittel-Mitteilungendurchführungsverordnung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TAMMitDurchfV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https://recht.nulegal.eu/gesetze/TAMMitDurchfV/3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