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TAMMitDurchfV — Mitteilungen des Tierhalters nach §§ 58a und 58b des Arzneimittelgesetzes</w:t>
      </w:r>
    </w:p>
    <w:p>
      <w:r>
        <w:rPr>
          <w:color w:val="555555"/>
          <w:sz w:val="18"/>
        </w:rPr>
        <w:t xml:space="preserve">Tierarzneimittel-Mitteilungendurchführungsverordnung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Sofern die Mitteilung in elektronischer Form erfolgt, ist die von der zuständigen Behörde zur Verfügung gestellte digitale Datei zu verwenden und digital zu übermitteln.</w:t>
      </w:r>
    </w:p>
    <w:p>
      <w:r>
        <w:rPr>
          <w:color w:val="555555"/>
          <w:sz w:val="17"/>
        </w:rPr>
        <w:t xml:space="preserve">Zitiervorschlag: § 1 TAMMitDurchfV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https://recht.nulegal.eu/gesetze/TAMMitDurchfV/1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