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TAMKatV — Kriterien für die Freiverkäuflichkeit von Tierarzneimitteln und veterinärmedizintechnischen Produkten</w:t>
      </w:r>
    </w:p>
    <w:p>
      <w:r>
        <w:rPr>
          <w:color w:val="555555"/>
          <w:sz w:val="18"/>
        </w:rPr>
        <w:t xml:space="preserve">Tierarzneimittel-Kategorisierungsverordnung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(1) Ein Tierarzneimittel oder ein veterinärmedizintechnisches Produkt ist nach § 40 Absatz 2 Satz 2 des Tierarzneimittelgesetzes frei verkäuflich, sofern es</w:t>
      </w:r>
    </w:p>
    <w:p>
      <w:pPr>
        <w:ind w:left="420"/>
      </w:pPr>
      <w:r>
        <w:t xml:space="preserve">1. keiner Pflicht zur Zulassung oder zur Registrierung unterliegt oder</w:t>
      </w:r>
    </w:p>
    <w:p>
      <w:pPr>
        <w:ind w:left="420"/>
      </w:pPr>
      <w:r>
        <w:t xml:space="preserve">2. als Tierarzneimittel für bestimmte Heimtiere von der Pflicht zur Zulassung nach § 4 Absatz 1 des Tierarzneimittelgesetzes freigestellt ist.</w:t>
      </w:r>
    </w:p>
    <w:p>
      <w:r>
        <w:t xml:space="preserve">(2) Zusätzlich zu Absatz 1 ist ein zugelassenes oder registriertes Tierarzneimittel oder ein veterinärmedizintechnisches Produkt als freiverkäuflich zu kategorisieren, sofern</w:t>
      </w:r>
    </w:p>
    <w:p>
      <w:pPr>
        <w:ind w:left="420"/>
      </w:pPr>
      <w:r>
        <w:t xml:space="preserve">1. keine Anhaltspunkte für eine Einstufung in die Apothekenpflicht nach § 1 Satz 1 Nummer 1 bis 9 vorliegen,</w:t>
      </w:r>
    </w:p>
    <w:p>
      <w:pPr>
        <w:ind w:left="420"/>
      </w:pPr>
      <w:r>
        <w:t xml:space="preserve">2. seine Verabreichung aufgrund der Darreichungsform keine besonderen Kenntnisse oder Fertigkeiten der verabreichenden Person erfordert,</w:t>
      </w:r>
    </w:p>
    <w:p>
      <w:pPr>
        <w:ind w:left="420"/>
      </w:pPr>
      <w:r>
        <w:t xml:space="preserve">3. seine Anwendung kein Stellen einer tierärztlichen Diagnose oder keine tierärztliche Kontrolle des Behandlungserfolges erfordert,</w:t>
      </w:r>
    </w:p>
    <w:p>
      <w:pPr>
        <w:ind w:left="420"/>
      </w:pPr>
      <w:r>
        <w:t xml:space="preserve">4. durch die Freiverkäuflichkeit kein erhöhtes Risiko für das zu behandelnde Tier, die verabreichende Person, andere Tiere oder Personen oder für die Umwelt, auch bei unsachgemäßer Anwendung, besteht,</w:t>
      </w:r>
    </w:p>
    <w:p>
      <w:pPr>
        <w:ind w:left="420"/>
      </w:pPr>
      <w:r>
        <w:t xml:space="preserve">5. durch die Freiverkäuflichkeit keine missbräuchliche Anwendung zu befürchten ist,</w:t>
      </w:r>
    </w:p>
    <w:p>
      <w:pPr>
        <w:ind w:left="420"/>
      </w:pPr>
      <w:r>
        <w:t xml:space="preserve">6. die Fachinformation nach Artikel 35 der Verordnung (EU) 2019/6 keine Warnhinweise zu möglichen schwerwiegenden Nebenwirkungen enthält,</w:t>
      </w:r>
    </w:p>
    <w:p>
      <w:pPr>
        <w:ind w:left="420"/>
      </w:pPr>
      <w:r>
        <w:t xml:space="preserve">7. kein Risiko für die Gesundheit von Menschen, auch bei unsachgemäßer Anwendung, durch Rückstände in Lebensmitteln, die von behandelten Tieren stammen, besteht, und</w:t>
      </w:r>
    </w:p>
    <w:p>
      <w:pPr>
        <w:ind w:left="420"/>
      </w:pPr>
      <w:r>
        <w:t xml:space="preserve">8. durch ihre Anwendung kein Risiko für die öffentliche Gesundheit oder die Tiergesundheit durch Resistenzentwicklungen, auch bei unsachgemäßer Anwendung, besteht.</w:t>
      </w:r>
    </w:p>
    <w:p>
      <w:r>
        <w:rPr>
          <w:color w:val="555555"/>
          <w:sz w:val="17"/>
        </w:rPr>
        <w:t xml:space="preserve">Zitiervorschlag: § 2 TAMKatV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https://recht.nulegal.eu/gesetze/TAMKatV/2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