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TAMKatV — Kriterien für die Apothekenpflicht von Tierarzneimitteln und veterinärmedizintechnischen Produkten</w:t>
      </w:r>
    </w:p>
    <w:p>
      <w:r>
        <w:rPr>
          <w:color w:val="555555"/>
          <w:sz w:val="18"/>
        </w:rPr>
        <w:t xml:space="preserve">Tierarzneimittel-Kategorisierungsverordnung</w:t>
      </w:r>
    </w:p>
    <w:p>
      <w:r>
        <w:rPr>
          <w:color w:val="555555"/>
          <w:sz w:val="18"/>
        </w:rPr>
        <w:t xml:space="preserve">Stand: 16.03.2023 (konsolidierte Textfassung, kein amtliches Inkrafttretensdatum)</w:t>
      </w:r>
    </w:p>
    <w:p>
      <w:r>
        <w:t xml:space="preserve">Ein Tierarzneimittel oder ein veterinärmedizintechnisches Produkt im Sinne des § 3 Absatz 3 Nummer 1 des Tierarzneimittelgesetzes ist als apothekenpflichtig zu kategorisieren, sofern es eines der nachstehend genannten Kriterien erfüllt:</w:t>
      </w:r>
    </w:p>
    <w:p>
      <w:pPr>
        <w:ind w:left="420"/>
      </w:pPr>
      <w:r>
        <w:t xml:space="preserve">1. das Tierarzneimittel ist als verschreibungspflichtig eingestuft worden von</w:t>
      </w:r>
    </w:p>
    <w:p>
      <w:pPr>
        <w:ind w:left="780"/>
      </w:pPr>
      <w:r>
        <w:t xml:space="preserve">a) der zuständigen Bundesoberbehörde oder von der Europäischen Kommission nach Artikel 34 Absatz 1 oder 2 der Verordnung (EU) 2019/6 des Europäischen Parlaments und des Rates vom 11. Dezember 2018 über Tierarzneimittel und zur Aufhebung der Richtlinie 2001/82/EG (ABl. L 4 vom 7.1.2019, S. 43; L 163 vom 20.6.2019, S. 112; L 326 vom 8.10.2020, S. 15; L 241 vom 8.7.2021, S. 17; L 151 vom 2.6.2022, S. 74), die durch die Delegierte Verordnung (EU) 2021/805 (ABl. L 180 vom 21.5.2021, S. 3) geändert worden ist, oder</w:t>
      </w:r>
    </w:p>
    <w:p>
      <w:pPr>
        <w:ind w:left="780"/>
      </w:pPr>
      <w:r>
        <w:t xml:space="preserve">b) der zuständigen Bundesoberbehörde nach § 24 Absatz 1 des Tierarzneimittelgesetzes,</w:t>
      </w:r>
    </w:p>
    <w:p>
      <w:pPr>
        <w:ind w:left="420"/>
      </w:pPr>
      <w:r>
        <w:t xml:space="preserve">2. das veterinärmedizintechnische Produkt ist von der zuständigen Bundesoberbehörde nach § 24 Absatz 2 des Tierarzneimittelgesetzes als verschreibungspflichtig eingestuft worden,</w:t>
      </w:r>
    </w:p>
    <w:p>
      <w:pPr>
        <w:ind w:left="420"/>
      </w:pPr>
      <w:r>
        <w:t xml:space="preserve">3. das Tierarzneimittel ist zur Verabreichung durch Injektion oder Infusion oder zur rektalen, vaginalen, intrauterinen oder intramammären Verabreichung bestimmt,</w:t>
      </w:r>
    </w:p>
    <w:p>
      <w:pPr>
        <w:ind w:left="420"/>
      </w:pPr>
      <w:r>
        <w:t xml:space="preserve">4. es handelt sich um Wundstäbchen oder Implantate,</w:t>
      </w:r>
    </w:p>
    <w:p>
      <w:pPr>
        <w:ind w:left="420"/>
      </w:pPr>
      <w:r>
        <w:t xml:space="preserve">5. die Anwendung des Tierarzneimittels oder des veterinärmedizintechnischen Produktes hat zum Ziel, Krankheiten durch seine systemische Wirkung zu heilen, zu lindern oder zu verhüten,</w:t>
      </w:r>
    </w:p>
    <w:p>
      <w:pPr>
        <w:ind w:left="420"/>
      </w:pPr>
      <w:r>
        <w:t xml:space="preserve">6. das Tierarzneimittel oder das veterinärmedizintechnische Produkt erfordert wegen seiner Bedingungen für die Aufbewahrung oder stofflichen Zusammensetzung die Prüfung, Aufbewahrung und Abgabe durch eine Apotheke oder tierärztliche Hausapotheke,</w:t>
      </w:r>
    </w:p>
    <w:p>
      <w:pPr>
        <w:ind w:left="420"/>
      </w:pPr>
      <w:r>
        <w:t xml:space="preserve">7. das Tierarzneimittel oder das veterinärmedizintechnische Produkt enthält einen Wirkstoff, der zum Zeitpunkt der Entscheidung über die Kategorisierung seit weniger als fünf Jahren in der Union zugelassen ist,</w:t>
      </w:r>
    </w:p>
    <w:p>
      <w:pPr>
        <w:ind w:left="420"/>
      </w:pPr>
      <w:r>
        <w:t xml:space="preserve">8. es handelt sich um ein nach § 13 Absatz 5 Nummer 4 des Tierarzneimittelgesetzes registriertes, als nicht verschreibungspflichtig eingestuftes homöopathisches Tierarzneimittel,</w:t>
      </w:r>
    </w:p>
    <w:p>
      <w:pPr>
        <w:ind w:left="420"/>
      </w:pPr>
      <w:r>
        <w:t xml:space="preserve">9. für das Tierarzneimittel oder veterinärmedizintechnische Produkt kann die Kategorisierung der Freiverkäuflichkeit anhand der in § 2 Absatz 2 genannten Kriterien nicht zweifelsfrei von der zuständigen Bundesoberbehörde festgelegt werden.</w:t>
      </w:r>
    </w:p>
    <w:p>
      <w:r>
        <w:t xml:space="preserve">Satz 1 Nummer 5 gilt nicht für Vitamin- und Mineralstoffpräparate zur Vorbeuge von Vitamin- und Mineralstoffmangelkrankheiten.</w:t>
      </w:r>
    </w:p>
    <w:p>
      <w:r>
        <w:rPr>
          <w:color w:val="555555"/>
          <w:sz w:val="17"/>
        </w:rPr>
        <w:t xml:space="preserve">Zitiervorschlag: § 1 TAMKatV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https://recht.nulegal.eu/gesetze/TAMKatV/1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