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TAMG — Übergangsvorschrift aus Anlass des Gesetzes zur Änderung des Tierarzneimittelgesetzes und des Apothekengesetzes</w:t>
      </w:r>
    </w:p>
    <w:p>
      <w:r>
        <w:rPr>
          <w:color w:val="555555"/>
          <w:sz w:val="18"/>
        </w:rPr>
        <w:t xml:space="preserve">Tierarzneimittelgesetz</w:t>
      </w:r>
    </w:p>
    <w:p>
      <w:r>
        <w:rPr>
          <w:color w:val="555555"/>
          <w:sz w:val="18"/>
        </w:rPr>
        <w:t xml:space="preserve">Stand: 14.08.2026 (konsolidierte Textfassung, kein amtliches Inkrafttretensdatum)</w:t>
      </w:r>
    </w:p>
    <w:p>
      <w:r>
        <w:t xml:space="preserve">Abweichend von § 61a Absatz 3 Satz 3 ist die tierärztliche Mitteilung erstmalig bis zu dem folgenden Zeitpunkt zu machen:</w:t>
      </w:r>
    </w:p>
    <w:p>
      <w:pPr>
        <w:ind w:left="420"/>
      </w:pPr>
      <w:r>
        <w:t xml:space="preserve">1. für Enten, Gänse, Schafe, Ziegen, Fische der Arten Atlantischer Lachs, Regenbogenforelle, Goldbrasse, Wolfsbarsch und Karpfen, Pferde und der Gewinnung von Lebensmitteln dienende Kaninchen bis zum Ablauf des 14. Januar 2027 und</w:t>
      </w:r>
    </w:p>
    <w:p>
      <w:pPr>
        <w:ind w:left="420"/>
      </w:pPr>
      <w:r>
        <w:t xml:space="preserve">2. für Hunde, Katzen, Füchse und Nerze, wenn diese Füchse oder Nerze als Pelztiere gehalten werden, bis zum Ablauf des 14. Januar 2030.</w:t>
      </w:r>
    </w:p>
    <w:p>
      <w:r>
        <w:rPr>
          <w:color w:val="555555"/>
          <w:sz w:val="17"/>
        </w:rPr>
        <w:t xml:space="preserve">Zitiervorschlag: § 95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