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TAMG — Übergangsvorschriften aus Anlass des Gesetzes zum Erlass eines Tierarzneimittelgesetzes und zur Anpassung arzneimittelrechtlicher und anderer Vorschriften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In den Anwendungsbereich des § 22 Absatz 1 fallende Tierarzneimittel und veterinärmedizintechnische Produkte, die auf der Grundlage der Vorschriften des Arzneimittelgesetzes vor dem 28. Januar 2022 eine Zulassung erhalten haben, gelten als auf der Grundlage dieses Gesetzes zugelassen und unterliegen daher den einschlägigen Bestimmungen dieses Gesetzes.</w:t>
      </w:r>
    </w:p>
    <w:p>
      <w:r>
        <w:t xml:space="preserve">(2) In den Anwendungsbereich dieses Gesetzes fallende Tierarzneimittel und veterinärmedizintechnische Produkte, die bis zum 28. Januar 2022 auf der Grundlage der Vorschriften des Arzneimittelgesetzes rechtmäßig in den Verkehr gebracht wurden, dürfen im Geltungsbereich dieses Gesetzes noch bis zum 29. Januar 2027 auf dem Markt bereitgestellt werden, auch wenn sie die Voraussetzungen dieses Gesetzes nicht erfüllen.</w:t>
      </w:r>
    </w:p>
    <w:p>
      <w:r>
        <w:rPr>
          <w:color w:val="555555"/>
          <w:sz w:val="17"/>
        </w:rPr>
        <w:t xml:space="preserve">Zitiervorschlag: § 92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