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TAMG — Verordnungsermächtigung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Das Bundesministerium für Ernährung und Landwirtschaft wird ermächtigt, soweit dies zur Durchsetzung der Rechtsakte der Europäischen Union erforderlich ist, durch Rechtsverordnung ohne Zustimmung des Bundesrates die Tatbestände zu bezeichnen, die</w:t>
      </w:r>
    </w:p>
    <w:p>
      <w:pPr>
        <w:ind w:left="420"/>
      </w:pPr>
      <w:r>
        <w:t xml:space="preserve">1. als Straftat nach § 87 Absatz 2 zu ahnden sind oder</w:t>
      </w:r>
    </w:p>
    <w:p>
      <w:pPr>
        <w:ind w:left="420"/>
      </w:pPr>
      <w:r>
        <w:t xml:space="preserve">2. als Ordnungswidrigkeit nach § 89 Absatz 4 geahndet werden können.</w:t>
      </w:r>
    </w:p>
    <w:p>
      <w:r>
        <w:rPr>
          <w:color w:val="555555"/>
          <w:sz w:val="17"/>
        </w:rPr>
        <w:t xml:space="preserve">Zitiervorschlag: § 91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