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82 TAMG — Verhältnis zu anderen Gesetzen</w:t>
      </w:r>
    </w:p>
    <w:p>
      <w:r>
        <w:rPr>
          <w:color w:val="555555"/>
          <w:sz w:val="18"/>
        </w:rPr>
        <w:t xml:space="preserve">Tierarzneimittelgesetz</w:t>
      </w:r>
    </w:p>
    <w:p>
      <w:r>
        <w:rPr>
          <w:color w:val="555555"/>
          <w:sz w:val="18"/>
        </w:rPr>
        <w:t xml:space="preserve">Stand: 14.08.2026 (konsolidierte Textfassung, kein amtliches Inkrafttretensdatum)</w:t>
      </w:r>
    </w:p>
    <w:p>
      <w:r>
        <w:t xml:space="preserve">Die Vorschriften des Betäubungsmittel- und des Atomrechts, des Anti-Doping-Gesetzes und des Tierschutzgesetzes bleiben von den Vorschriften dieses Gesetzes unberührt.</w:t>
      </w:r>
    </w:p>
    <w:p>
      <w:r>
        <w:rPr>
          <w:color w:val="555555"/>
          <w:sz w:val="17"/>
        </w:rPr>
        <w:t xml:space="preserve">Zitiervorschlag: § 82 TAMG</w:t>
      </w:r>
    </w:p>
    <w:p>
      <w:r>
        <w:rPr>
          <w:color w:val="555555"/>
          <w:sz w:val="17"/>
        </w:rPr>
        <w:t xml:space="preserve">Quelle: Bundesamt für Justiz, abgerufen 14.08.2026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https://recht.nulegal.eu/gesetze/TAMG/82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