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 TAMG — Verordnungsermächtigungen für Krisenzeiten</w:t>
      </w:r>
    </w:p>
    <w:p>
      <w:r>
        <w:rPr>
          <w:color w:val="555555"/>
          <w:sz w:val="18"/>
        </w:rPr>
        <w:t xml:space="preserve">Tierarzneimittelgesetz</w:t>
      </w:r>
    </w:p>
    <w:p>
      <w:r>
        <w:rPr>
          <w:color w:val="555555"/>
          <w:sz w:val="18"/>
        </w:rPr>
        <w:t xml:space="preserve">Stand: 14.08.2026 (konsolidierte Textfassung, kein amtliches Inkrafttretensdatum)</w:t>
      </w:r>
    </w:p>
    <w:p>
      <w:r>
        <w:t xml:space="preserve">(1) Das Bundesministerium für Ernährung und Landwirtschaft wird ermächtigt, im Einvernehmen mit dem Bundesministerium für Gesundheit und dem Bundesministerium für Wirtschaft und Klimaschutz durch Rechtsverordnung ohne Zustimmung des Bundesrates Ausnahmen von den Vorschriften dieses Gesetzes und der auf Grund dieses Gesetzes erlassenen Rechtsverordnungen zuzulassen, wenn die notwendige Versorgung der Tierbestände mit Arzneimitteln sonst ernstlich gefährdet wäre und eine unmittelbare oder mittelbare Gefährdung der Gesundheit von Mensch und Tier durch Arzneimittel nicht zu befürchten ist.</w:t>
      </w:r>
    </w:p>
    <w:p>
      <w:r>
        <w:t xml:space="preserve">(2) Eine Rechtsverordnung nach Absatz 1 ergeht im Einvernehmen mit dem Bundesministerium für Umwelt, Naturschutz, nukleare Sicherheit und Verbraucherschutz, soweit es sich um Tierarzneimittel, die radioaktive sind oder bei deren Herstellung ionisierende Strahlen verwendet werden, oder um Regelungen zur Abwehr von Gefahren durch ionisierende Strahlung handelt.</w:t>
      </w:r>
    </w:p>
    <w:p>
      <w:r>
        <w:t xml:space="preserve">(3) Die Geltungsdauer einer Rechtsverordnung nach Absatz 1 ist auf sechs Monate zu befristen.</w:t>
      </w:r>
    </w:p>
    <w:p>
      <w:r>
        <w:rPr>
          <w:color w:val="555555"/>
          <w:sz w:val="17"/>
        </w:rPr>
        <w:t xml:space="preserve">Zitiervorschlag: § 81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