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76a TAMG — Mitwirkung der Zollbehörden</w:t>
      </w:r>
    </w:p>
    <w:p>
      <w:r>
        <w:rPr>
          <w:color w:val="555555"/>
          <w:sz w:val="18"/>
        </w:rPr>
        <w:t xml:space="preserve">Tierarzneimittelgesetz</w:t>
      </w:r>
    </w:p>
    <w:p>
      <w:r>
        <w:rPr>
          <w:color w:val="555555"/>
          <w:sz w:val="18"/>
        </w:rPr>
        <w:t xml:space="preserve">Stand: 14.08.2026 (konsolidierte Textfassung, kein amtliches Inkrafttretensdatum)</w:t>
      </w:r>
    </w:p>
    <w:p>
      <w:r>
        <w:t xml:space="preserve">(1) Die Zollbehörden wirken bei der Überwachung des Verbringens von Tierarzneimitteln, veterinärmedizintechnischen Produkten und Wirkstoffen in den Geltungsbereich dieses Gesetzes und bei der Überwachung von deren Ausfuhr mit.</w:t>
      </w:r>
    </w:p>
    <w:p>
      <w:r>
        <w:t xml:space="preserve">(2) Die Zollbehörden können</w:t>
      </w:r>
    </w:p>
    <w:p>
      <w:pPr>
        <w:ind w:left="420"/>
      </w:pPr>
      <w:r>
        <w:t xml:space="preserve">1. Sendungen von Tierarzneimitteln, veterinärmedizintechnischen Produkten und Wirkstoffen einschließlich deren Beförderungsmittel, Behälter, Lade- und Verpackungsmittel zur Überwachung anhalten,</w:t>
      </w:r>
    </w:p>
    <w:p>
      <w:pPr>
        <w:ind w:left="420"/>
      </w:pPr>
      <w:r>
        <w:t xml:space="preserve">2. soweit es zur Durchführung dieses Gesetzes, der aufgrund dieses Gesetzes erlassenen Rechtsverordnungen und von Rechtsakten der Europäischen Union, die den Geltungsbereich dieses Gesetzes betreffen, erforderlich ist, Informationen, die sie im Rahmen ihrer zollamtlichen Tätigkeit gewonnen haben, den zuständigen Behörden mitteilen,</w:t>
      </w:r>
    </w:p>
    <w:p>
      <w:pPr>
        <w:ind w:left="420"/>
      </w:pPr>
      <w:r>
        <w:t xml:space="preserve">3. in den Fällen der Nummer 2 anordnen, dass die Sendungen der in Nummer 1 genannten Art auf Kosten und Gefahr des Verfügungsberechtigten der zuständigen Behörde vorgeführt werden.</w:t>
      </w:r>
    </w:p>
    <w:p>
      <w:r>
        <w:t xml:space="preserve">(3) Das Brief- und Postgeheimnis nach Artikel 10 des Grundgesetzes wird nach Maßgabe der Absätze 1 und 2 eingeschränkt.</w:t>
      </w:r>
    </w:p>
    <w:p>
      <w:r>
        <w:rPr>
          <w:color w:val="555555"/>
          <w:sz w:val="17"/>
        </w:rPr>
        <w:t xml:space="preserve">Zitiervorschlag: § 76a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https://recht.nulegal.eu/gesetze/TAMG/76a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