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TAMG — Maßnahmen der zuständigen Behörden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zuständigen Behörden treffen die notwendigen Anordnungen und Maßnahmen, die zur Beseitigung festgestellter Verstöße, zur Verhütung künftiger Verstöße sowie zum Schutz vor Gefahren für die Sicherheit im Verkehr mit Tierarzneimitteln und mit veterinärmedizintechnischen Produkten oder zum Schutz vor Täuschung erforderlich sind. Die zuständigen Behörden können die notwendigen Anordnungen und Maßnahmen treffen, die zur Feststellung oder zur Ausräumung eines hinreichenden Verdachts eines Verstoßes erforderlich sind. Die zuständigen Behörden können unbeschadet der in den Artikeln 129 bis 134 der Verordnung (EU) 2019/6 in der Fassung vom 23. November 2022 genannten Maßnahmen insbesondere</w:t>
      </w:r>
    </w:p>
    <w:p>
      <w:pPr>
        <w:ind w:left="420"/>
      </w:pPr>
      <w:r>
        <w:t xml:space="preserve">1. das Herstellen, Behandeln oder Inverkehrbringen von Tierarzneimitteln, Wirkstoffen oder veterinärmedizintechnischen Produkten verbieten oder beschränken,</w:t>
      </w:r>
    </w:p>
    <w:p>
      <w:pPr>
        <w:ind w:left="420"/>
      </w:pPr>
      <w:r>
        <w:t xml:space="preserve">2. anordnen, dass die Person, die ein Tierarzneimittel, einen Wirkstoff oder ein veterinärmedizintechnisches Produkt auf dem Markt bereitgestellt hat oder dies beabsichtigt,</w:t>
      </w:r>
    </w:p>
    <w:p>
      <w:pPr>
        <w:ind w:left="780"/>
      </w:pPr>
      <w:r>
        <w:t xml:space="preserve">a) eine Prüfung durchführt oder durchführen lässt und das Ergebnis der Prüfung mitteilt sowie</w:t>
      </w:r>
    </w:p>
    <w:p>
      <w:pPr>
        <w:ind w:left="780"/>
      </w:pPr>
      <w:r>
        <w:t xml:space="preserve">b) den zuständigen Behörden den Eingang eines Tierarzneimittels anzeigt,</w:t>
      </w:r>
    </w:p>
    <w:p>
      <w:pPr>
        <w:ind w:left="420"/>
      </w:pPr>
      <w:r>
        <w:t xml:space="preserve">3. vorübergehend verbieten, dass ein Tierarzneimittel, ein Wirkstoff oder ein veterinärmedizintechnisches Produkt auf dem Markt bereitgestellt wird, bis das Ergebnis einer nach § 73 Absatz 1 entnommenen Probe oder einer Prüfung nach Nummer 1 vorliegt,</w:t>
      </w:r>
    </w:p>
    <w:p>
      <w:pPr>
        <w:ind w:left="420"/>
      </w:pPr>
      <w:r>
        <w:t xml:space="preserve">4. das Bereitstellen eines Tierarzneimittels, eines Wirkstoffs oder eines veterinärmedizintechnischen Produktes verbieten oder beschränken,</w:t>
      </w:r>
    </w:p>
    <w:p>
      <w:pPr>
        <w:ind w:left="420"/>
      </w:pPr>
      <w:r>
        <w:t xml:space="preserve">5. Tierarzneimittel, Wirkstoffe oder veterinärmedizintechnische Produkte, auch vorläufig, sicherstellen und, soweit dies zum Erreichen des in § 1 genannten Zwecks erforderlich ist, die unschädliche Beseitigung der Tierarzneimittel, Wirkstoffe oder veterinärmedizintechnischen Produkte veranlassen,</w:t>
      </w:r>
    </w:p>
    <w:p>
      <w:pPr>
        <w:ind w:left="420"/>
      </w:pPr>
      <w:r>
        <w:t xml:space="preserve">6. eine Maßnahme überwachen oder, falls erforderlich, anordnen, mit der verhindert wird, dass ein Tierarzneimittel, ein Wirkstoff oder ein veterinärmedizintechnisches Produkt auch durch andere Wirtschaftsbeteiligte weiter auf dem Markt bereitgestellt wird (Rücknahme), oder die auf die Rückgabe eines auf dem Markt bereitgestellten Tierarzneimittels, eines Wirkstoffs oder eines veterinärmedizintechnischen Produktes abzielt, das den Verbraucher oder den Anwender bereits erreicht hat oder erreicht haben könnte (Rückruf),</w:t>
      </w:r>
    </w:p>
    <w:p>
      <w:pPr>
        <w:ind w:left="420"/>
      </w:pPr>
      <w:r>
        <w:t xml:space="preserve">7. das Verbringen eines Tierarzneimittels, eines Wirkstoffs oder eines veterinärmedizintechnischen Produktes in das Inland im Einzelfall vorübergehend verbieten oder beschränken, wenn Tatsachen vorliegen, die darauf schließen lassen, dass das Tierarzneimittel, der Wirkstoff oder das veterinärmedizintechnische Produkt ein Risiko für die Gesundheit von Mensch und Tier mit sich bringt.</w:t>
      </w:r>
    </w:p>
    <w:p>
      <w:r>
        <w:t xml:space="preserve">(2) Widerspruch und Anfechtungsklage gegen Anordnungen, die der Durchführung der Artikel 129 bis 134 der Verordnung (EU) 2019/6 in der Fassung vom 23. November 2022 dienen, haben keine aufschiebende Wirkung.</w:t>
      </w:r>
    </w:p>
    <w:p>
      <w:r>
        <w:t xml:space="preserve">(3) Soweit im Einzelfall eine notwendige Anordnung oder eine sonstige notwendige Maßnahme nicht auf Grund des Absatzes 1 getroffen werden kann, bleiben weitergehende Regelungen der Länder anwendbar, einschließlich der Regelungen des Polizeirechts, auf Grund derer eine solche Anordnung oder Maßnahme getroffen werden kann.</w:t>
      </w:r>
    </w:p>
    <w:p>
      <w:r>
        <w:rPr>
          <w:color w:val="555555"/>
          <w:sz w:val="17"/>
        </w:rPr>
        <w:t xml:space="preserve">Zitiervorschlag: § 76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