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TAMG — Durchführung der Überwachung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mit der Überwachung beauftragten Personen müssen diese Tätigkeit hauptberuflich ausüben. Die zuständige Behörde kann Sachverständige beiziehen. Sie soll Angehörige der zuständigen Bundesoberbehörde als Sachverständige beteiligen, soweit es sich um Tierarzneimittel im Sinne von Artikel 2 Absatz 3 oder Absatz 7 Buchstabe a oder b oder Artikel 4 Nummer 43 der Verordnung (EU) 2019/6 in der Fassung vom 23. November 2022, gentechnisch hergestellte Tierarzneimittel, Allergene, oder um Wirkstoffe oder andere Stoffe handelt, die menschlicher, tierischer oder mikrobieller Herkunft sind oder die auf gentechnischem Wege hergestellt werden.</w:t>
      </w:r>
    </w:p>
    <w:p>
      <w:r>
        <w:t xml:space="preserve">(2) Der Überwachung unterliegen</w:t>
      </w:r>
    </w:p>
    <w:p>
      <w:pPr>
        <w:ind w:left="420"/>
      </w:pPr>
      <w:r>
        <w:t xml:space="preserve">1. Personen, Betriebe und Einrichtungen, denen nach diesem Gesetz oder der Verordnung (EU) 2019/6 in der Fassung vom 23. November 2022 Pflichten im Umgang mit Arzneimitteln obliegen,</w:t>
      </w:r>
    </w:p>
    <w:p>
      <w:pPr>
        <w:ind w:left="420"/>
      </w:pPr>
      <w:r>
        <w:t xml:space="preserve">2. Eigentümer und Halter von der Gewinnung von Lebensmitteln dienenden Tieren sowie</w:t>
      </w:r>
    </w:p>
    <w:p>
      <w:pPr>
        <w:ind w:left="420"/>
      </w:pPr>
      <w:r>
        <w:t xml:space="preserve">3. die mit den genannten Tätigkeiten im Zusammenhang stehende Aufbewahrung von Aufzeichnungen.</w:t>
      </w:r>
    </w:p>
    <w:p>
      <w:r>
        <w:t xml:space="preserve">(3) Die mit der Überwachung beauftragten Personen führen Kontrollen und Probennahmen durch, um die Einhaltung der Vorschriften zu überwachen. Dazu sind die der Überwachung unterliegenden Personen, Betriebe und Einrichtungen risikoorientiert zu kontrollieren.</w:t>
      </w:r>
    </w:p>
    <w:p>
      <w:r>
        <w:t xml:space="preserve">(4) Unbeschadet des Artikels 123 der Verordnung (EU) 2019/6 in der Fassung vom 23. November 2022 und soweit es zur Überwachung der Einhaltung der Vorschriften dieses Gesetzes, der aufgrund dieses Gesetzes erlassenen Rechtsverordnungen und der unmittelbar geltenden Rechtsakte der Europäischen Gemeinschaft oder der Europäischen Union erforderlich ist, sind die mit der Überwachung beauftragten Personen, bei Gefahr im Verzug auch die Polizei, befugt,</w:t>
      </w:r>
    </w:p>
    <w:p>
      <w:pPr>
        <w:ind w:left="420"/>
      </w:pPr>
      <w:r>
        <w:t xml:space="preserve">1. Grundstücke, Betriebsräume und Transportmittel, die im Zusammenhang stehen mit</w:t>
      </w:r>
    </w:p>
    <w:p>
      <w:pPr>
        <w:ind w:left="780"/>
      </w:pPr>
      <w:r>
        <w:t xml:space="preserve">a) der Herstellung, Zubereitung, Lagerung oder Bereitstellung von Tierarzneimitteln, Wirkstoffen und veterinärmedizintechnischen Produkten oder</w:t>
      </w:r>
    </w:p>
    <w:p>
      <w:pPr>
        <w:ind w:left="780"/>
      </w:pPr>
      <w:r>
        <w:t xml:space="preserve">b) Personen, Betrieben und Einrichtungen nach Absatz 2 Nummer 1,</w:t>
      </w:r>
    </w:p>
    <w:p>
      <w:pPr>
        <w:ind w:left="420"/>
      </w:pPr>
      <w:r>
        <w:t xml:space="preserve">während der üblichen Betriebs- oder Geschäftszeit zu betreten;</w:t>
      </w:r>
    </w:p>
    <w:p>
      <w:pPr>
        <w:ind w:left="420"/>
      </w:pPr>
      <w:r>
        <w:t xml:space="preserve">2. zur Verhütung dringender Gefahren für die öffentliche Sicherheit und Ordnung die in Nummer 1 genannten Grundstücke, Betriebsräume und Transportmittel</w:t>
      </w:r>
    </w:p>
    <w:p>
      <w:pPr>
        <w:ind w:left="780"/>
      </w:pPr>
      <w:r>
        <w:t xml:space="preserve">a) tagsüber auch außerhalb der dort genannten Zeiten zu betreten und</w:t>
      </w:r>
    </w:p>
    <w:p>
      <w:pPr>
        <w:ind w:left="780"/>
      </w:pPr>
      <w:r>
        <w:t xml:space="preserve">b) auch dann zu betreten, wenn sie zugleich Wohnzwecken der betroffenen Person dienen;</w:t>
      </w:r>
    </w:p>
    <w:p>
      <w:pPr>
        <w:ind w:left="420"/>
      </w:pPr>
      <w:r>
        <w:t xml:space="preserve">das Grundrecht der Unverletzlichkeit der Wohnung nach Artikel 13 Absatz 1 des Grundgesetzes wird insoweit eingeschränkt;</w:t>
      </w:r>
    </w:p>
    <w:p>
      <w:pPr>
        <w:ind w:left="420"/>
      </w:pPr>
      <w:r>
        <w:t xml:space="preserve">3. alle geschäftlichen Schrift- und Datenträger, insbesondere Aufzeichnungen, Frachtbriefe, Herstellungsbeschreibungen und Unterlagen über die bei der Herstellung verwendeten Stoffe, einzusehen und hieraus Abschriften, Auszüge, Ausdrucke oder sonstige Vervielfältigungen, auch von Datenträgern, anzufertigen oder Ausdrucke von elektronisch gespeicherten Daten zu verlangen;</w:t>
      </w:r>
    </w:p>
    <w:p>
      <w:pPr>
        <w:ind w:left="420"/>
      </w:pPr>
      <w:r>
        <w:t xml:space="preserve">4. von den in Nummer 1 genannten Grundstücken, Betriebsräumen und Transportmitteln Bildaufnahmen oder -aufzeichnungen anzufertigen;</w:t>
      </w:r>
    </w:p>
    <w:p>
      <w:pPr>
        <w:ind w:left="420"/>
      </w:pPr>
      <w:r>
        <w:t xml:space="preserve">5. von natürlichen und juristischen Personen sowie von nicht rechtsfähigen Personenvereinigungen alle erforderlichen Auskünfte zu verlangen, insbesondere solche über die Herstellung und das Behandeln der zur Verarbeitung gelangenden Stoffe und über deren Herkunft sowie über das Bereitstellen dieser Stoffe auf dem Markt;</w:t>
      </w:r>
    </w:p>
    <w:p>
      <w:pPr>
        <w:ind w:left="420"/>
      </w:pPr>
      <w:r>
        <w:t xml:space="preserve">6. Proben zu fordern oder zu entnehmen und diese amtlich untersuchen zu lassen; § 73 bleibt unberührt.</w:t>
      </w:r>
    </w:p>
    <w:p>
      <w:r>
        <w:t xml:space="preserve">Im Fall von Satz 1 Nummer 3 und 4 dürfen folgende personenbezogene Daten erhoben, gespeichert und verwendet werden, soweit dies zur Sicherung von Beweisen erforderlich ist:</w:t>
      </w:r>
    </w:p>
    <w:p>
      <w:pPr>
        <w:ind w:left="420"/>
      </w:pPr>
      <w:r>
        <w:t xml:space="preserve">1. Name, Anschrift und Markenzeichen der Unternehmerin oder des Unternehmers sowie</w:t>
      </w:r>
    </w:p>
    <w:p>
      <w:pPr>
        <w:ind w:left="420"/>
      </w:pPr>
      <w:r>
        <w:t xml:space="preserve">2. Namen von Beschäftigten.</w:t>
      </w:r>
    </w:p>
    <w:p>
      <w:r>
        <w:t xml:space="preserve">Die Aufnahmen oder Aufzeichnungen sind zu vernichten oder zu löschen, soweit sie nicht mehr erforderlich sind, spätestens jedoch nach Ablauf von fünf Jahren nach ihrer Aufnahme oder Aufzeichnung. Die Frist des Satzes 2 gilt nicht, wenn wegen eines anhängigen Bußgeldverfahrens, eines staatsanwaltlichen Ermittlungsverfahrens oder eines gerichtlichen Verfahrens eine längere Aufbewahrung erforderlich ist; in diesen Fällen sind die Aufnahmen oder Aufzeichnungen mit rechtskräftigem Abschluss des Verfahrens zu vernichten.</w:t>
      </w:r>
    </w:p>
    <w:p>
      <w:r>
        <w:t xml:space="preserve">(5) Die mit der Überwachung beauftragten Personen führen Aufzeichnungen über die Kontrollen nach den Absätzen 3 und 4 und erstellen erforderlichenfalls einen Bericht. Dabei informiert die zuständige Behörde die überprüften Personen, Betriebe und Einrichtungen unverzüglich schriftlich oder elektronisch über jeden im Rahmen der Kontrollen festgestellten Verstoß und gibt den überprüften Personen, Betrieben und Einrichtungen die Möglichkeit, innerhalb einer Frist von einem Monat hierzu Stellung zu nehmen.</w:t>
      </w:r>
    </w:p>
    <w:p>
      <w:r>
        <w:t xml:space="preserve">(6) Soweit es zur Durchführung von Vorschriften dieses Gesetzes, der auf Grund dieses Gesetzes erlassenen Rechtsverordnungen und der unmittelbar geltenden Rechtsakte der Europäischen Gemeinschaft oder der Europäischen Union erforderlich ist, sind auch die Sachverständigen der Mitgliedstaaten, der Europäischen Kommission und der EFTA-Überwachungsbehörde in Begleitung der mit der Überwachung beauftragten Personen berechtigt, Befugnisse nach Absatz 4 wahrzunehmen.</w:t>
      </w:r>
    </w:p>
    <w:p>
      <w:r>
        <w:t xml:space="preserve">(7) Die Staatsanwaltschaft hat die nach § 64 zuständige Behörde unverzüglich über die Einleitung eines Strafverfahrens, soweit sich dieses auf Verstöße gegen Verbote und Beschränkungen dieses Gesetzes, der nach diesem Gesetz erlassenen Rechtsverordnungen oder der unmittelbar geltenden Rechtsakte der Europäischen Gemeinschaft oder der Europäischen Union im Anwendungsbereich dieses Gesetzes bezieht, unter Angabe der Rechtsvorschriften zu unterrichten. Satz 1 gilt nicht, wenn das Verfahren auf Grund einer Abgabe der Verwaltungsbehörde nach § 41 Absatz 1 des Gesetzes über Ordnungswidrigkeiten eingeleitet worden ist. Eine Übermittlung nach Satz 1 kann unterbleiben, solange und soweit ihr Zwecke des Strafverfahrens entgegenstehen.</w:t>
      </w:r>
    </w:p>
    <w:p>
      <w:r>
        <w:rPr>
          <w:color w:val="555555"/>
          <w:sz w:val="17"/>
        </w:rPr>
        <w:t xml:space="preserve">Zitiervorschlag: § 72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