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TAMG — Speicherungsfristen</w:t>
      </w:r>
    </w:p>
    <w:p>
      <w:r>
        <w:rPr>
          <w:color w:val="555555"/>
          <w:sz w:val="18"/>
        </w:rPr>
        <w:t xml:space="preserve">Tierarzneimittelgesetz</w:t>
      </w:r>
    </w:p>
    <w:p>
      <w:r>
        <w:rPr>
          <w:color w:val="555555"/>
          <w:sz w:val="18"/>
        </w:rPr>
        <w:t xml:space="preserve">Stand: 14.08.2026 (konsolidierte Textfassung, kein amtliches Inkrafttretensdatum)</w:t>
      </w:r>
    </w:p>
    <w:p>
      <w:r>
        <w:t xml:space="preserve">Daten nach § 68 Absatz 5 mit Ausnahme personenbezogener Daten sollen mindestens 30 Jahre über die Dauer der Verkehrsfähigkeit des betreffenden Arzneimittels hinaus in dem Informationssystem zur Verfügung stehen. Personenbezogene Daten, die nicht mit der Verkehrsfähigkeit eines Tierarzneimittels in Zusammenhang stehen, sind unverzüglich zu löschen, sobald sie für die Zwecke, für die sie erhoben wurden, nicht mehr erforderlich sind, spätestens zehn Jahre nach Wegfall des Anlasses für ihre Erhebung. Personenbezogene Daten, die mit der Verkehrsfähigkeit eines Tierarzneimittels in Zusammenhang stehen, sind unverzüglich zu löschen, sobald sie für die Zwecke, für die sie erhoben wurden, nicht mehr erforderlich sind, spätestens 15 Jahre nach dem Ende der Verkehrsfähigkeit des betreffenden Arzneimittels. Daten nach § 69 Absatz 2 sind unverzüglich zu löschen, sobald sie für die Zwecke, für die sie erhoben wurden, nicht mehr erforderlich sind, spätestens fünf Jahre nach ihrer Übermittlung an die zuständige Bundesoberbehörde.</w:t>
      </w:r>
    </w:p>
    <w:p>
      <w:r>
        <w:rPr>
          <w:color w:val="555555"/>
          <w:sz w:val="17"/>
        </w:rPr>
        <w:t xml:space="preserve">Zitiervorschlag: § 71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