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TAMG — Kennzeichnung und Packungsbeilage von nach Artikel 5 Absatz 1 der Verordnung (EU) 2019/6 zulassungspflichtigen Tierarzneimitteln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Die nach Artikel 5 Absatz 1 der Verordnung (EU) 2019/6 in der Fassung vom 23. November 2022 zulassungspflichtigen Tierarzneimittel dürfen im Geltungsbereich dieses Gesetzes nur bereitgestellt werden, wenn ihre Kennzeichnung und ihre Packungsbeilage den folgenden Vorgaben entsprechend gestaltet sind:</w:t>
      </w:r>
    </w:p>
    <w:p>
      <w:pPr>
        <w:ind w:left="420"/>
      </w:pPr>
      <w:r>
        <w:t xml:space="preserve">1. der Papierform der Packungsbeilage nach § 8,</w:t>
      </w:r>
    </w:p>
    <w:p>
      <w:pPr>
        <w:ind w:left="420"/>
      </w:pPr>
      <w:r>
        <w:t xml:space="preserve">2. Artikel 10 Absatz 1, Artikel 11 Absatz 1, Artikel 12 Absatz 1 und Artikel 14 Absatz 1 Satz 2 der Verordnung (EU) 2019/6 in der Fassung vom 23. November 2022 sowie</w:t>
      </w:r>
    </w:p>
    <w:p>
      <w:pPr>
        <w:ind w:left="420"/>
      </w:pPr>
      <w:r>
        <w:t xml:space="preserve">3. den sonstigen Vorschriften des Kapitels II Abschnitt 4 der Verordnung (EU) 2019/6 in der Fassung vom 23. November 2022.</w:t>
      </w:r>
    </w:p>
    <w:p>
      <w:r>
        <w:t xml:space="preserve">(2) Auf Antrag gestattet die zuständige Bundesoberbehörde der Person, die die Zulassung des Tierarzneimittels beantragt, die Kennzeichnung um über die erforderlichen Angaben nach Artikel 10 Absatz 1, Artikel 11 Absatz 1 und Artikel 12 Absatz 1 der Verordnung (EU) 2019/6 in der Fassung vom 23. November 2022 hinausgehende Angaben zu erweitern, wenn diese zweckdienlich und mit der Fachinformation vereinbar sind und keine Werbung für ein Tierarzneimittel darstellen.</w:t>
      </w:r>
    </w:p>
    <w:p>
      <w:r>
        <w:rPr>
          <w:color w:val="555555"/>
          <w:sz w:val="17"/>
        </w:rPr>
        <w:t xml:space="preserve">Zitiervorschlag: § 7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