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TAMG — Verwendung bestimmter Daten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nach dem Lebensmittel- und Futtermittelgesetzbuch, dem Tierschutzgesetz sowie dem Tiergesundheitsgesetz für die Erhebung der Daten für die Anzeige und die Registrierung von Vieh haltenden Betrieben zuständigen Behörden sind befugt, der nach § 64 zuständigen Behörde auf Ersuchen die angeforderten Daten zu übermitteln, soweit dies zur Wahrnehmung der Aufgaben nach dem Lebensmittel-, Futtermittel-, Tierschutz- und Tierseuchenrecht erforderlich ist.</w:t>
      </w:r>
    </w:p>
    <w:p>
      <w:r>
        <w:t xml:space="preserve">(2) Die zuständigen Behörden nach § 64 sind befugt, die im Rahmen der Überwachung der Abgabe nach § 44 Absatz 1 Satz 3 Nummer 4 und § 45 Absatz 1 Satz 1 Nummer 2 sowie des Bezuges von Tierarzneimitteln nach § 49 Absatz 5 und 6 erforderlichen Daten zu erheben, zu speichern, zu verwenden und an die für die Überwachung von Arzneifuttermitteln und Zwischenerzeugnissen nach der Verordnung (EU) 2019/4 in der Fassung vom 11. Dezember 2018 zuständigen Behörden zu übermitteln, soweit dies für die Überwachung des Verkehrs mit Arzneifuttermitteln jeweils erforderlich ist.</w:t>
      </w:r>
    </w:p>
    <w:p>
      <w:r>
        <w:t xml:space="preserve">(3) Die Daten sind unverzüglich zu löschen, sobald sie zur Aufgabenerfüllung der jeweiligen Behörde nicht mehr erforderlich sind, spätestens nach Ablauf von drei Jahren. Die Frist beginnt mit Ablauf desjenigen Jahres, in dem die Daten übermittelt worden sind.</w:t>
      </w:r>
    </w:p>
    <w:p>
      <w:r>
        <w:t xml:space="preserve">(4) Die Länder können Daten, die sie im Rahmen der Überwachung gewonnen haben, in anonymisierter Form in einer gemeinsamen Datenbank zusammenführen. Die Länder können zum Betrieb dieser Datenbank eine gemeinsame Stelle einrichten.</w:t>
      </w:r>
    </w:p>
    <w:p>
      <w:r>
        <w:rPr>
          <w:color w:val="555555"/>
          <w:sz w:val="17"/>
        </w:rPr>
        <w:t xml:space="preserve">Zitiervorschlag: § 67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