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TAMG — Gegenseitige Information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für die Durchführung dieses Gesetzes zuständigen Behörden und Stellen des Bundes und der Länder haben sich gegenseitig</w:t>
      </w:r>
    </w:p>
    <w:p>
      <w:pPr>
        <w:ind w:left="420"/>
      </w:pPr>
      <w:r>
        <w:t xml:space="preserve">1. die für den Vollzug des Gesetzes zuständigen Behörden und Stellen mitzuteilen,</w:t>
      </w:r>
    </w:p>
    <w:p>
      <w:pPr>
        <w:ind w:left="420"/>
      </w:pPr>
      <w:r>
        <w:t xml:space="preserve">2. bei Zuwiderhandlungen und bei Verdacht auf Zuwiderhandlungen gegen Vorschriften dieses Gesetzes, der auf Grund dieses Gesetzes erlassenen Rechtsverordnungen und der unmittelbar geltenden Rechtsakte der Europäischen Gemeinschaft oder der Europäischen Union im Geltungsbereich dieses Gesetzes für den jeweiligen Zuständigkeitsbereich unverzüglich zu unterrichten und bei der Ermittlungstätigkeit zu unterstützen sowie</w:t>
      </w:r>
    </w:p>
    <w:p>
      <w:pPr>
        <w:ind w:left="420"/>
      </w:pPr>
      <w:r>
        <w:t xml:space="preserve">3. über Rückrufe von Tierarzneimitteln und veterinärmedizintechnischen Produkten sowie über Maßnahmen im Zusammenhang mit Qualitätsmängeln bei Wirkstoffen zu informieren, die zu einem Versorgungsmangel mit Tierarzneimitteln führen können.</w:t>
      </w:r>
    </w:p>
    <w:p>
      <w:r>
        <w:t xml:space="preserve">(2) Die zuständigen Behörden</w:t>
      </w:r>
    </w:p>
    <w:p>
      <w:pPr>
        <w:ind w:left="420"/>
      </w:pPr>
      <w:r>
        <w:t xml:space="preserve">1. erteilen der zuständigen Behörde eines anderen Mitgliedstaates auf begründetes Ersuchen Auskünfte und übermitteln die erforderlichen Urkunden und Schriftstücke, um ihr die Überwachung der Einhaltung der für Tierarzneimittel geltenden Vorschriften zu ermöglichen,</w:t>
      </w:r>
    </w:p>
    <w:p>
      <w:pPr>
        <w:ind w:left="420"/>
      </w:pPr>
      <w:r>
        <w:t xml:space="preserve">2. überprüfen alle von der ersuchenden Behörde eines anderen Mitgliedstaates mitgeteilten Sachverhalte und Auskünfte, teilen ihr das Ergebnis der Prüfung mit und unterrichten das Bundesministerium für Ernährung und Landwirtschaft darüber.</w:t>
      </w:r>
    </w:p>
    <w:p>
      <w:r>
        <w:t xml:space="preserve">(3) Die zuständigen Behörden teilen den zuständigen Behörden eines anderen Mitgliedstaates alle Tatsachen und Sachverhalte mit, die für die Überwachung der Einhaltung der für Tierarzneimittel geltenden Vorschriften in diesem Mitgliedstaat erforderlich sind, insbesondere bei Zuwiderhandlungen und bei Verdacht auf Zuwiderhandlungen gegen für Tierarzneimittel geltende Vorschriften.</w:t>
      </w:r>
    </w:p>
    <w:p>
      <w:r>
        <w:t xml:space="preserve">(4) Die zuständigen Behörden können, soweit dies zur Einhaltung der Anforderungen dieses Gesetzes oder der auf Grund dieses Gesetzes erlassenen Rechtsverordnungen erforderlich oder durch Rechtsakte der Europäischen Gemeinschaft oder der Europäischen Union vorgeschrieben ist, Daten, die sie im Rahmen der Überwachung gewonnen haben, anderen zuständigen Behörden des Landes, den zuständigen Behörden anderer Länder, des Bundes oder anderer Mitgliedstaaten, der Europäischen Kommission, der Europäischen Arzneimittel-Agentur oder den zuständigen Stellen des Europarates mitteilen.</w:t>
      </w:r>
    </w:p>
    <w:p>
      <w:r>
        <w:t xml:space="preserve">(5) Auskünfte, Mitteilungen und die Übermittlung von Urkunden und Schriftstücken über Kontrollen nach Artikel 123 der Verordnung (EU) 2019/6 in der Fassung vom 23. November 2022 erfolgen an die Europäische Kommission, sofern sie Vertragsstaaten des Abkommens über den Europäischen Wirtschaftsraum betreffen, die keine Mitgliedstaaten sind.</w:t>
      </w:r>
    </w:p>
    <w:p>
      <w:r>
        <w:t xml:space="preserve">(6) Der Verkehr mit den zuständigen Behörden anderer Staaten, Stellen des Europarates, der Europäischen Arzneimittel-Agentur und der Europäischen Kommission obliegt dem Bundesministerium. Das Bundesministerium für Ernährung und Landwirtschaft kann diese Befugnis auf die zuständigen Bundesoberbehörden oder durch Rechtsverordnung mit Zustimmung des Bundesrates auf die zuständigen obersten Landesbehörden übertragen. Ferner kann das Bundesministerium im Einzelfall der zuständigen obersten Landesbehörde die Befugnis übertragen, sofern diese ihr Einverständnis damit erklärt. Die obersten Landesbehörden können die Befugnisse nach den Sätzen 2 und 3 auf andere Behörden übertragen.</w:t>
      </w:r>
    </w:p>
    <w:p>
      <w:r>
        <w:rPr>
          <w:color w:val="555555"/>
          <w:sz w:val="17"/>
        </w:rPr>
        <w:t xml:space="preserve">Zitiervorschlag: § 66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