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61b TAMG — Verarbeitung und Übermittlung von nach § 61a erhobenen Daten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Unbeschadet des Artikels 57 der Verordnung (EU) 2019/6 in der Fassung vom 23. November 2022 dürfen die nach § 61a erhobenen Daten nach Maßgabe der Absätze 2 und 3 verarbeitet werden.</w:t>
      </w:r>
    </w:p>
    <w:p>
      <w:r>
        <w:t xml:space="preserve">(2) Das Bundesamt für Verbraucherschutz und Lebensmittelsicherheit hat dem Bundesinstitut für Risikobewertung jeweils bis zum Ablauf des 15. Februar des auf den Berichtszeitraum folgenden Jahres in pseudonymisierter Form die in der Anlage 2 Nummer 9 aufgeführten, jährlich ermittelten Daten zum Zweck der Risikobewertung auf dem Gebiet der Antibiotikaresistenz mitzuteilen. Das Bundesamt für Verbraucherschutz und Lebensmittelsicherheit hat das Verfahren zur Bildung des Pseudonyms zu bestimmen. Dieses Verfahren ist so zu gestalten, dass das Bundesinstitut für Risikobewertung bei den ihm gemeldeten Daten den Personenbezug nicht wiederherstellen kann.</w:t>
      </w:r>
    </w:p>
    <w:p>
      <w:r>
        <w:t xml:space="preserve">(3) Auf Grundlage der ihm übermittelten Daten hat das Bundesinstitut für Risikobewertung die Risikobewertung durchzuführen. Das Bundesinstitut für Risikobewertung hat jährlich zu den in Absatz 2 Satz 1 genannten Daten des Vorjahres einen nicht personenbezogenen Bericht über die Ergebnisse der Risikobewertung zu erstellen. Der Berichtszeitraum ist ein Kalenderjahr. Das Bundesinstitut für Risikobewertung hat den erstellten Bericht bis zum Ablauf des 31. August des auf den Berichtszeitraum folgenden Jahres zu veröffentlichen.</w:t>
      </w:r>
    </w:p>
    <w:p>
      <w:r>
        <w:t xml:space="preserve">(4) Das Bundesinstitut für Risikobewertung ist befugt, die in Absatz 2 Satz 1 genannten Daten in pseudonymisierter Form zu Zwecken der Risikobewertung zu erheben, zu speichern und zu verwenden. Ferner dürfen die Daten in pseudonymisierter Form zu wissenschaftlichen Zwecken verwendet werden.</w:t>
      </w:r>
    </w:p>
    <w:p>
      <w:r>
        <w:rPr>
          <w:color w:val="555555"/>
          <w:sz w:val="17"/>
        </w:rPr>
        <w:t xml:space="preserve">Zitiervorschlag: § 61b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https://recht.nulegal.eu/gesetze/TAMG/61b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