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TAMG — Verordnungsermächtigungen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Das Bundesministerium für Ernährung und Landwirtschaft wird ermächtigt, im Einvernehmen mit dem Bundesministerium für Gesundheit durch Rechtsverordnung mit Zustimmung des Bundesrates im Rahmen des Artikels 107 Absatz 7 der Verordnung (EU) 2019/6 in der Fassung vom 23. November 2022 die Anwendung bestimmter antimikrobieller Wirkstoffe bei Tieren weiter einzuschränken oder zu verbieten, wenn die Verabreichung derartiger antimikrobieller Wirkstoffe der sich aus den §§ 54 bis 58 ergebenden Strategie zur Verringerung der Verwendung von Tierarzneimitteln mit antibiotisch wirksamen Arzneimitteln zuwiderläuft. Insbesondere kann in einer Rechtsverordnung nach Satz 1 für die Anwendung von Tierarzneimitteln mit bestimmten antimikrobiellen Wirkstoffen, insbesondere dem Wirkstoff Colistin (Polymyxin E), geregelt werden, dass</w:t>
      </w:r>
    </w:p>
    <w:p>
      <w:pPr>
        <w:ind w:left="420"/>
      </w:pPr>
      <w:r>
        <w:t xml:space="preserve">1. die Anwendung dieser Tierarzneimittel an die Erstellung eines Antibiogramms gebunden ist und</w:t>
      </w:r>
    </w:p>
    <w:p>
      <w:pPr>
        <w:ind w:left="420"/>
      </w:pPr>
      <w:r>
        <w:t xml:space="preserve">2. diese Tierarzneimittel bei Tieren, die der Gewinnung von Lebensmitteln dienen, nicht nach den Bestimmungen des Artikels 113 der Verordnung (EU) 2019/6 in der Fassung vom 23. November 2022 angewendet werden dürfen.</w:t>
      </w:r>
    </w:p>
    <w:p>
      <w:r>
        <w:t xml:space="preserve">(2) Das Bundesministerium für Ernährung und Landwirtschaft wird ermächtigt, im Einvernehmen mit dem Bundesministerium für Gesundheit durch Rechtsverordnung mit Zustimmung des Bundesrates das Nähere über Art, Form und Inhalt der Mitteilungen der Tierhalterin oder des Tierhalters nach § 55 Absatz 1 und der Tierärztinnen und Tierärzte nach § 56 Absatz 1 zu regeln. In der Rechtsverordnung nach Satz 1 kann vorgesehen werden, dass</w:t>
      </w:r>
    </w:p>
    <w:p>
      <w:pPr>
        <w:ind w:left="420"/>
      </w:pPr>
      <w:r>
        <w:t xml:space="preserve">1. die Mitteilungen nach § 55 Absatz 1 durch die Übermittlung von Angaben oder Aufzeichnungen ersetzt werden können, die auf Grund anderer arzneimittelrechtlicher Vorschriften, insbesondere auf Grund einer Verordnung nach § 52 Absatz 1 Nummer 9, vorzunehmen sind,</w:t>
      </w:r>
    </w:p>
    <w:p>
      <w:pPr>
        <w:ind w:left="420"/>
      </w:pPr>
      <w:r>
        <w:t xml:space="preserve">2. Betriebe bis zu einer bestimmten Bestandsgröße von den Anforderungen nach § 55 ausgenommen werden.</w:t>
      </w:r>
    </w:p>
    <w:p>
      <w:r>
        <w:t xml:space="preserve">Eine Rechtsverordnung nach Satz 2 Nummer 2 darf nur erlassen werden, soweit</w:t>
      </w:r>
    </w:p>
    <w:p>
      <w:pPr>
        <w:ind w:left="420"/>
      </w:pPr>
      <w:r>
        <w:t xml:space="preserve">1. durch die Ausnahme für Betriebe das Erreichen des Zieles der Verringerung der Behandlung mit antibiotisch wirksamen Arzneimitteln nicht gefährdet wird und</w:t>
      </w:r>
    </w:p>
    <w:p>
      <w:pPr>
        <w:ind w:left="420"/>
      </w:pPr>
      <w:r>
        <w:t xml:space="preserve">2. die Repräsentativität der Ermittlung der bundesweiten jährlichen Kennzahlen erhalten bleibt.</w:t>
      </w:r>
    </w:p>
    <w:p>
      <w:r>
        <w:t xml:space="preserve">(3) Das Bundesministerium für Ernährung und Landwirtschaft wird ermächtigt, im Einvernehmen mit dem Bundesministerium für Gesundheit durch Rechtsverordnung mit Zustimmung des Bundesrates</w:t>
      </w:r>
    </w:p>
    <w:p>
      <w:pPr>
        <w:ind w:left="420"/>
      </w:pPr>
      <w:r>
        <w:t xml:space="preserve">1. zum Zweck der Ermittlung des Medians und des dritten Quartils der bundesweiten jährlichen Kennzahlen Anforderungen und Einzelheiten der Berechnung festzulegen,</w:t>
      </w:r>
    </w:p>
    <w:p>
      <w:pPr>
        <w:ind w:left="420"/>
      </w:pPr>
      <w:r>
        <w:t xml:space="preserve">2. die näheren Einzelheiten einschließlich des Verfahrens zu regeln zu</w:t>
      </w:r>
    </w:p>
    <w:p>
      <w:pPr>
        <w:ind w:left="780"/>
      </w:pPr>
      <w:r>
        <w:t xml:space="preserve">a) der Auskunftserteilung nach § 57 Absatz 7 und</w:t>
      </w:r>
    </w:p>
    <w:p>
      <w:pPr>
        <w:ind w:left="780"/>
      </w:pPr>
      <w:r>
        <w:t xml:space="preserve">b) der Löschung der Daten nach § 57 Absatz 8.</w:t>
      </w:r>
    </w:p>
    <w:p>
      <w:r>
        <w:t xml:space="preserve">(4) Das Bundesministerium für Ernährung und Landwirtschaft wird ermächtigt, im Einvernehmen mit dem Bundesministerium für Gesundheit durch Rechtsverordnung mit Zustimmung des Bundesrates die näheren Einzelheiten zu regeln über</w:t>
      </w:r>
    </w:p>
    <w:p>
      <w:pPr>
        <w:ind w:left="420"/>
      </w:pPr>
      <w:r>
        <w:t xml:space="preserve">1. die Aufzeichnung nach § 58 Absatz 1 Nummer 2,</w:t>
      </w:r>
    </w:p>
    <w:p>
      <w:pPr>
        <w:ind w:left="420"/>
      </w:pPr>
      <w:r>
        <w:t xml:space="preserve">2. Inhalt und Umfang des in § 58 Absatz 2 Satz 1 Nummer 2 genannten Planes zur Verringerung der Behandlung mit antibiotisch wirksamen Arzneimitteln,</w:t>
      </w:r>
    </w:p>
    <w:p>
      <w:pPr>
        <w:ind w:left="420"/>
      </w:pPr>
      <w:r>
        <w:t xml:space="preserve">3. die Anforderung an die Übermittlung einschließlich des Verfahrens nach § 58 Absatz 3 Satz 1 und</w:t>
      </w:r>
    </w:p>
    <w:p>
      <w:pPr>
        <w:ind w:left="420"/>
      </w:pPr>
      <w:r>
        <w:t xml:space="preserve">4. die vertiefte mikrobiologische tierärztliche Diagnostik nach § 58 Absatz 4 Satz 1 Nummer 1 und dabei insbesondere Anforderungen an die Probenahme, die Untersuchungseinrichtung und die Durchführung und Dokumentation der Untersuchung festzulegen.</w:t>
      </w:r>
    </w:p>
    <w:p>
      <w:r>
        <w:t xml:space="preserve">(5) Das Bundesministerium für Ernährung und Landwirtschaft wird ermächtigt, im Einvernehmen mit dem Bundesministerium für Gesundheit durch Rechtsverordnung mit Zustimmung des Bundesrates Fische, die der Gewinnung von Lebensmitteln dienen, in den Anwendungsbereich der §§ 54 bis 59 und der zur Durchführung dieser Vorschriften erlassenen Rechtsverordnungen einzubeziehen, soweit dies für die Verringerung der Behandlung mit antibiotisch wirksamen Arzneimitteln erforderlich ist.</w:t>
      </w:r>
    </w:p>
    <w:p>
      <w:r>
        <w:t xml:space="preserve">(6) Eine Rechtsverordnung nach Absatz 5 darf erstmals erlassen werden, wenn die Ergebnisse eines bundesweiten durchgeführten behördlichen oder im Auftrag einer Behörde bundesweit durchgeführten Forschungsvorhabens über die Behandlung mit antibiotisch wirksamen Arzneimitteln bei Fischen, die der Gewinnung von Lebensmitteln dienen, im Bundesanzeiger veröffentlicht worden sind.</w:t>
      </w:r>
    </w:p>
    <w:p>
      <w:r>
        <w:rPr>
          <w:color w:val="555555"/>
          <w:sz w:val="17"/>
        </w:rPr>
        <w:t xml:space="preserve">Zitiervorschlag: § 61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