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TAMG — Widerruf der Freistellung von Tierarzneimitteln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zuständige Bundesoberbehörde widerruft die Freistellung nach § 4 Absatz 1, wenn</w:t>
      </w:r>
    </w:p>
    <w:p>
      <w:pPr>
        <w:ind w:left="420"/>
      </w:pPr>
      <w:r>
        <w:t xml:space="preserve">1. sich nach ihrer Erteilung auf Grund der Auswertung von Daten oder Informationen aus der Pharmakovigilanz herausstellt, dass die Nutzen-Risiko-Bilanz des Tierarzneimittels negativ ist,</w:t>
      </w:r>
    </w:p>
    <w:p>
      <w:pPr>
        <w:ind w:left="420"/>
      </w:pPr>
      <w:r>
        <w:t xml:space="preserve">2. die Inhaberin oder der Inhaber der Freistellung das Erfordernis nach § 4 Absatz 1 Satz 1 Nummer 2 nicht mehr erfüllt oder</w:t>
      </w:r>
    </w:p>
    <w:p>
      <w:pPr>
        <w:ind w:left="420"/>
      </w:pPr>
      <w:r>
        <w:t xml:space="preserve">3. die Inhaberin oder der Inhaber der Freistellung die Änderungen nach § 5 Absatz 2 nicht fristgemäß vornimmt.</w:t>
      </w:r>
    </w:p>
    <w:p>
      <w:r>
        <w:t xml:space="preserve">(2) Die zuständige Bundesoberbehörde kann die Freistellung widerrufen, wenn sich nach Erteilung der Freistellung herausstellt, dass</w:t>
      </w:r>
    </w:p>
    <w:p>
      <w:pPr>
        <w:ind w:left="420"/>
      </w:pPr>
      <w:r>
        <w:t xml:space="preserve">1. das Pharmakovigilanz-System im Sinne von Artikel 77 Absatz 1 der Verordnung (EU) 2019/6 in der Fassung vom 23. November 2022 unangemessen ist,</w:t>
      </w:r>
    </w:p>
    <w:p>
      <w:pPr>
        <w:ind w:left="420"/>
      </w:pPr>
      <w:r>
        <w:t xml:space="preserve">2. die Inhaberin oder der Inhaber der Freistellung ihren oder seinen Pflichten nach Artikel 77 der Verordnung (EU) 2019/6 in der Fassung vom 23. November 2022 nicht nachkommt oder</w:t>
      </w:r>
    </w:p>
    <w:p>
      <w:pPr>
        <w:ind w:left="420"/>
      </w:pPr>
      <w:r>
        <w:t xml:space="preserve">3. die für die Pharmakovigilanz zuständige verantwortliche qualifizierte Person ihre Aufgaben nach Artikel 78 der Verordnung (EU) 2019/6 in der Fassung vom 23. November 2022 nicht wahrnimmt.</w:t>
      </w:r>
    </w:p>
    <w:p>
      <w:r>
        <w:rPr>
          <w:color w:val="555555"/>
          <w:sz w:val="17"/>
        </w:rPr>
        <w:t xml:space="preserve">Zitiervorschlag: § 6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