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TAMG — Verarbeitung und Übermittlung von Daten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Unbeschadet des Artikels 57 der Verordnung (EU) 2019/6 in der Fassung vom 23. November 2022 dürfen die nach den §§ 55 bis 58 erhobenen Daten ausschließlich zu folgenden Zwecken verarbeitet werden:</w:t>
      </w:r>
    </w:p>
    <w:p>
      <w:pPr>
        <w:ind w:left="420"/>
      </w:pPr>
      <w:r>
        <w:t xml:space="preserve">1. zur Ermittlung und Berechnung der Therapiehäufigkeit,</w:t>
      </w:r>
    </w:p>
    <w:p>
      <w:pPr>
        <w:ind w:left="420"/>
      </w:pPr>
      <w:r>
        <w:t xml:space="preserve">2. zur Überwachung der Einhaltung der §§ 55 bis 58,</w:t>
      </w:r>
    </w:p>
    <w:p>
      <w:pPr>
        <w:ind w:left="420"/>
      </w:pPr>
      <w:r>
        <w:t xml:space="preserve">3. zur Verfolgung und zur Ahndung von Verstößen gegen tierarzneimittelrechtliche Vorschriften,</w:t>
      </w:r>
    </w:p>
    <w:p>
      <w:pPr>
        <w:ind w:left="420"/>
      </w:pPr>
      <w:r>
        <w:t xml:space="preserve">4. zur Durchführung einer Risikobewertung nach § 57 Absatz 4 Satz 3,</w:t>
      </w:r>
    </w:p>
    <w:p>
      <w:pPr>
        <w:ind w:left="420"/>
      </w:pPr>
      <w:r>
        <w:t xml:space="preserve">5. für die Erstellung des Berichts nach § 57 Absatz 4 Satz 4,</w:t>
      </w:r>
    </w:p>
    <w:p>
      <w:pPr>
        <w:ind w:left="420"/>
      </w:pPr>
      <w:r>
        <w:t xml:space="preserve">6. zur Berechnung weiterer betrieblicher und bundesweiter Kenngrößen und</w:t>
      </w:r>
    </w:p>
    <w:p>
      <w:pPr>
        <w:ind w:left="420"/>
      </w:pPr>
      <w:r>
        <w:t xml:space="preserve">7. in pseudonymisierter Form zu wissenschaftlichen Zwecken.</w:t>
      </w:r>
    </w:p>
    <w:p>
      <w:r>
        <w:t xml:space="preserve">Die betrieblichen Kenngrößen nach Satz 1 Nummer 6 werden ausschließlich den Datenmeldenden jeweils zu den von ihnen gemeldeten Daten zur Kenntnis gegeben.</w:t>
      </w:r>
    </w:p>
    <w:p>
      <w:r>
        <w:t xml:space="preserve">(2) Die zuständige Behörde darf Daten nach den §§ 55 bis 58 an die für die Verfolgung von Verstößen zuständigen Behörden übermitteln, sofern sie Grund zu der Annahme hat, dass</w:t>
      </w:r>
    </w:p>
    <w:p>
      <w:pPr>
        <w:ind w:left="420"/>
      </w:pPr>
      <w:r>
        <w:t xml:space="preserve">1. ein Verstoß vorliegt</w:t>
      </w:r>
    </w:p>
    <w:p>
      <w:pPr>
        <w:ind w:left="780"/>
      </w:pPr>
      <w:r>
        <w:t xml:space="preserve">a) gegen das Lebensmittel- und Futtermittelrecht,</w:t>
      </w:r>
    </w:p>
    <w:p>
      <w:pPr>
        <w:ind w:left="780"/>
      </w:pPr>
      <w:r>
        <w:t xml:space="preserve">b) das Tierschutzrecht oder</w:t>
      </w:r>
    </w:p>
    <w:p>
      <w:pPr>
        <w:ind w:left="780"/>
      </w:pPr>
      <w:r>
        <w:t xml:space="preserve">c) das Tiergesundheitsrecht und</w:t>
      </w:r>
    </w:p>
    <w:p>
      <w:pPr>
        <w:ind w:left="420"/>
      </w:pPr>
      <w:r>
        <w:t xml:space="preserve">2. diese Daten für die Verfolgung des Verstoßes erforderlich sind.</w:t>
      </w:r>
    </w:p>
    <w:p>
      <w:r>
        <w:rPr>
          <w:color w:val="555555"/>
          <w:sz w:val="17"/>
        </w:rPr>
        <w:t xml:space="preserve">Zitiervorschlag: § 59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