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TAMG — Ermittlung der Therapiehäufigkeit</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zuständige Behörde hat für jedes Halbjahr die durchschnittliche Anzahl der Behandlungen mit den in § 56 Absatz 1 bezeichneten antibiotisch wirksamen Arzneimitteln zu ermitteln. Die Ermittlung hat zu erfolgen bezogen</w:t>
      </w:r>
    </w:p>
    <w:p>
      <w:pPr>
        <w:ind w:left="420"/>
      </w:pPr>
      <w:r>
        <w:t xml:space="preserve">1. auf den jeweiligen Betrieb, für den nach den tierseuchenrechtlichen Vorschriften über den Verkehr mit Vieh eine Registriernummer zugeteilt worden ist, und</w:t>
      </w:r>
    </w:p>
    <w:p>
      <w:pPr>
        <w:ind w:left="420"/>
      </w:pPr>
      <w:r>
        <w:t xml:space="preserve">2. auf die jeweilige Art der gehaltenen Tiere unter Zugrundelegen der jeweiligen Nutzungsart.</w:t>
      </w:r>
    </w:p>
    <w:p>
      <w:r>
        <w:t xml:space="preserve">Dabei sind entsprechend des Berechnungsverfahrens zur Ermittlung der Therapiehäufigkeit vom 21. Februar 2013 (BAnz AT 22.2.2013 B2)</w:t>
      </w:r>
    </w:p>
    <w:p>
      <w:pPr>
        <w:ind w:left="420"/>
      </w:pPr>
      <w:r>
        <w:t xml:space="preserve">1. für jeden angewendeten antibiotisch wirksamen Wirkstoff die Anzahl der behandelten Tiere einer Nutzungsart mit der Anzahl der Behandlungstage zu multiplizieren und die so errechnete Zahl jeweils für alle verabreichten Wirkstoffe des Halbjahres zu addieren und</w:t>
      </w:r>
    </w:p>
    <w:p>
      <w:pPr>
        <w:ind w:left="420"/>
      </w:pPr>
      <w:r>
        <w:t xml:space="preserve">2. die nach Nummer 1 ermittelte Zahl anschließend durch die Anzahl der Tiere der betroffenen Nutzungsart, die durchschnittlich in dem Halbjahr gehalten worden sind, zu dividieren</w:t>
      </w:r>
    </w:p>
    <w:p>
      <w:r>
        <w:t xml:space="preserve">(betriebliche halbjährliche Therapiehäufigkeit).[6]</w:t>
      </w:r>
    </w:p>
    <w:p>
      <w:r>
        <w:t xml:space="preserve">(2) Für die Berechnung nach Absatz 1 Satz 3 Nummer 1 gelten bei der Verabreichung eines zugelassenen Arzneimittels folgende Kombinationen als ein einziger Wirkstoff:</w:t>
      </w:r>
    </w:p>
    <w:p>
      <w:pPr>
        <w:ind w:left="420"/>
      </w:pPr>
      <w:r>
        <w:t xml:space="preserve">1. eine Kombination antibiotischer Wirkstoffe oder</w:t>
      </w:r>
    </w:p>
    <w:p>
      <w:pPr>
        <w:ind w:left="420"/>
      </w:pPr>
      <w:r>
        <w:t xml:space="preserve">2. eine Kombination verschiedener chemischer Verbindungen eines einzigen antibiotisch wirksamen Wirkstoffs.</w:t>
      </w:r>
    </w:p>
    <w:p>
      <w:r>
        <w:t xml:space="preserve">Enthält ein verabreichtes Arzneimittel Cephalosporine der 3. und 4. Generation, Fluorchinolone oder Colistin, so ist für die Berechnung nach Absatz 1 Satz 3 Nummer 1 jeder Behandlungstag mit dem Faktor drei zu multiplizieren. Bei den in § 56 Absatz 1 genannten antibiotisch wirksamen Arzneimitteln, die je Behandlung einmalig angewendet werden und einen therapeutischen Wirkstoffspiegel von mehr als 24 Stunden aufweisen, ist für die Berechnung nach Absatz 1 Satz 3 Nummer 1 jeder Behandlungstag mit dem Faktor 5 zu multiplizieren. Bei den in § 56 Absatz 1 genannten antibiotisch wirksamen Arzneimitteln, die je Behandlung mehrmalig angewendet werden und die einen therapeutischen Wirkstoffspiegel von mehr als 24 Stunden aufweisen, ist für die Berechnung nach Absatz 1 Satz 3 Nummer 1 jeder Behandlungstag mit einem Faktor zu multiplizieren, der sich wie folgt errechnet: Die Summe aus dem Tag der ersten Anwendung und der Anzahl der Tage zwischen dem Tag der ersten Anwendung und dem Tag der zweiten Anwendung.</w:t>
      </w:r>
    </w:p>
    <w:p>
      <w:r>
        <w:t xml:space="preserve">(3) Die zuständige Behörde hat dem Bundesamt für Verbraucherschutz und Lebensmittelsicherheit folgende Angaben mitzuteilen:</w:t>
      </w:r>
    </w:p>
    <w:p>
      <w:pPr>
        <w:ind w:left="420"/>
      </w:pPr>
      <w:r>
        <w:t xml:space="preserve">1. für die Zwecke des Absatzes 6 und des § 60 die nach Absatz 1 jeweils ermittelte betriebliche halbjährliche Therapiehäufigkeit in anonymisierter Form sowie</w:t>
      </w:r>
    </w:p>
    <w:p>
      <w:pPr>
        <w:ind w:left="420"/>
      </w:pPr>
      <w:r>
        <w:t xml:space="preserve">2. für die Zwecke des Artikels 57 der Verordnung (EU) 2019/6 in der Fassung vom 23. November 2022 die Angaben nach § 56 Absatz 1 Satz 1 Nummer 1 und 3 bis 7.</w:t>
      </w:r>
    </w:p>
    <w:p>
      <w:r>
        <w:t xml:space="preserve">Die Mitteilung nach Satz 1 ist für das erste Kalenderhalbjahr jeweils spätestens am 1. August des betreffenden Jahres und für das zweite Kalenderhalbjahr jeweils spätestens am 1. Februar des Folgejahres zu machen. Die zuständige Behörde hat dem Bundesinstitut für Risikobewertung jeweils bis zu den in Satz 2 genannten Zeitpunkten in pseudonymisierter Form die in der Anlage 2 aufgeführten, halbjährlich ermittelten Daten zum Zweck der Risikobewertung auf dem Gebiet der Antibiotikaresistenz mitzuteilen.[7]</w:t>
      </w:r>
    </w:p>
    <w:p>
      <w:r>
        <w:t xml:space="preserve">(4) Das Bundesinstitut für Risikobewertung hat das Verfahren zur Bildung des Pseudonyms nach Absatz 3 Satz 3 zu bestimmen. Das Verfahren ist so zu gestalten, dass das Bundesinstitut für Risikobewertung bei den ihm gemeldeten Daten den Personenbezug nicht wiederherstellen kann. Auf Grundlage der ihm übermittelten Daten hat das Bundesinstitut für Risikobewertung die Risikobewertung durchzuführen. Das Bundesinstitut für Risikobewertung hat jährlich zu den in der Anlage 2 aufgeführten, von den zuständigen Behörden übermittelten Daten des Vorjahres einen Bericht über die Ergebnisse der Risikobewertung zu erstellen. Der Berichtszeitraum ist ein Kalenderjahr. Das Bundesinstitut für Risikobewertung hat den erstellten Bericht bis zum 31. August des auf den Berichtszeitraum folgenden Jahres zu veröffentlichen.</w:t>
      </w:r>
    </w:p>
    <w:p>
      <w:r>
        <w:t xml:space="preserve">(5) Sofern die Länder für die Zwecke des Absatzes 1 eine gemeinsame Stelle einrichten, sind die in den §§ 55 und 56 genannten Angaben dieser Stelle zu übermitteln. Diese Stelle hat die betriebliche halbjährliche Therapiehäufigkeit nach Maßgabe des in Absatz 1 genannten Berechnungsverfahrens zur Ermittlung der Therapiehäufigkeit zu ermitteln und den in Absatz 3 Satz 1 und 3 genannten Behörden mitzuteilen.[8]</w:t>
      </w:r>
    </w:p>
    <w:p>
      <w:r>
        <w:t xml:space="preserve">(6) Das Bundesamt für Verbraucherschutz und Lebensmittelsicherheit hat aus den ihm mitgeteilten Angaben zur betrieblichen halbjährlichen Therapiehäufigkeit jährlich für jede der in der Anlage 1 Spalte 3 bezeichneten Nutzungsarten zu ermitteln:</w:t>
      </w:r>
    </w:p>
    <w:p>
      <w:pPr>
        <w:ind w:left="420"/>
      </w:pPr>
      <w:r>
        <w:t xml:space="preserve">1. als bundesweite Kennzahl 1 den Wert, unter dem 50 Prozent aller erfassten betrieblichen halbjährlichen Therapiehäufigkeiten liegen (Median) und</w:t>
      </w:r>
    </w:p>
    <w:p>
      <w:pPr>
        <w:ind w:left="420"/>
      </w:pPr>
      <w:r>
        <w:t xml:space="preserve">2. als bundesweite Kennzahl 2 den Wert, unter dem 75 Prozent aller erfassten betrieblichen halbjährlichen Therapiehäufigkeiten liegen (drittes Quartil).</w:t>
      </w:r>
    </w:p>
    <w:p>
      <w:r>
        <w:t xml:space="preserve">Das Bundesamt für Verbraucherschutz und Lebensmittelsicherheit hat die Kennzahlen nach Satz 1 im Internet auf seiner Homepage bis zum 15. Februar des Folgejahres für das jeweilige vorangegangene Kalenderjahr bekanntzumachen und unter Berücksichtigung der Nutzungsart aufzuschlüsseln.[9]</w:t>
      </w:r>
    </w:p>
    <w:p>
      <w:r>
        <w:t xml:space="preserve">(7) Die zuständige Behörde oder die gemeinsame Stelle nach Absatz 5 hat der Tierhalterin oder dem Tierhalter die nach Absatz 1 ermittelte betriebliche halbjährliche Therapiehäufigkeit für die jeweiligen von ihr oder von ihm gehaltenen Tiere der Nutzungsarten nach der Anlage 1 Spalte 3 mitzuteilen. Die Mitteilung nach Satz 1 ist für das erste Kalenderhalbjahr jeweils spätestens am 1. August des betreffenden Jahres und für das zweite Kalenderhalbjahr jeweils spätestens am 1. Februar des Folgejahres zu machen.[10]</w:t>
      </w:r>
    </w:p>
    <w:p>
      <w:r>
        <w:t xml:space="preserve">(8) Die nach den §§ 55 und 56 erhobenen oder nach Absatz 7 mitgeteilten und jeweils bei der zuständigen Behörde oder der gemeinsamen Stelle nach Absatz 5 gespeicherten Daten sind für die Dauer von sechs Jahren aufzubewahren. Die Frist beginnt mit Ablauf des 15. Februar des Jahres, in dem die bundesweiten jährlichen Kennzahlen nach Absatz 6 bekannt gegeben worden sind. Nach Ablauf dieser Frist sind die Daten zu löschen.</w:t>
      </w:r>
    </w:p>
    <w:p>
      <w:r>
        <w:t xml:space="preserve">6 § 57 Absatz 1 gilt gemäß Artikel 5 in Verbindung mit Artikel 2 Nummer 3 Buchstabe a des Gesetzes vom 22. Dezember 2025 (BGBl. I Nr. 356) ab 1. Januar 2027 in folgender Fassung: (1) Die zuständige Behörde hat für jedes Kalenderjahr die durchschnittliche Anzahl der Behandlungen mit den in § 56 Absatz 1 bezeichneten antibiotisch wirksamen Arzneimitteln zu Die Ermittlung hat zu erfolgen bezogen 1. auf den jeweiligen Betrieb, für den nach den tierseuchenrechtlichen Vorschriften über den Verkehr mit Vieh eine Registriernummer zugeteilt worden ist, und 2. auf die jeweilige Art der gehaltenen Tiere unter Zugrundelegen der jeweiligen Nutzungsart. Dabei ist entsprechend dem Berechnungsverfahren zur Ermittlung der Therapiehäufigkeit vom 6. Oktober 2025 (BAnz AT 17.10.2025 B8) 1. für jeden angewendeten antibiotisch wirksamen Wirkstoff die Anzahl der behandelten Tiere einer Nutzungsart mit der Anzahl der Behandlungstage zu multiplizieren und die so errechnete Zahl jeweils für alle verabreichten Wirkstoffe des Kalenderjahres zu addieren und 2. die nach Nummer 1 ermittelte Zahl anschließend durch die Anzahl der Tiere der betroffenen Nutzungsart, die durchschnittlich in dem Kalenderjahr gehalten worden sind, zu dividieren (betriebliche jährliche Therapiehäufigkeit).</w:t>
      </w:r>
    </w:p>
    <w:p>
      <w:r>
        <w:t xml:space="preserve">7 § 57 Absatz 3 gilt gemäß Artikel 5 in Verbindung mit Artikel 2 Nummer 3 Buchstabe b des Gesetzes vom 22. Dezember 2025 (BGBl. I Nr. 356) ab 1. Januar 2027 in folgender Fassung: (3) Die zuständige Behörde hat dem Bundesamt für Verbraucherschutz und Lebensmittelsicherheit folgende Angaben mitzuteilen: 1. für die Zwecke des Absatzes 6 und des § 60 die nach Absatz 1 jeweils ermittelte betriebliche jährliche Therapiehäufigkeit in anonymisierter Form sowie 2. für die Zwecke des Artikels 57 der Verordnung (EU) 2019/6 in der Fassung vom 23. November 2022 die Angaben nach § 56 Absatz 1 Satz 1 Nummer 1 und 3 bis 7. Die Mitteilung nach Satz 1 ist für das Kalenderjahr spätestens am 1. Februar des Folgejahres zu machen. Die zuständige Behörde hat dem Bundesinstitut für Risikobewertung jeweils bis zu dem in Satz 2 genannten Zeitpunkt in pseudonymisierter Form die in der Anlage 2 aufgeführten, jährlich ermittelten Daten zum Zweck der Risikobewertung auf dem Gebiet der Antibiotikaresistenz mitzuteilen.</w:t>
      </w:r>
    </w:p>
    <w:p>
      <w:r>
        <w:t xml:space="preserve">8 § 57 Absatz 5 gilt gemäß Artikel 5 in Verbindung mit Artikel 2 Nummer 3 Buchstabe c des Gesetzes vom 22. Dezember 2025 (BGBl. I Nr. 356) ab 1. Januar 2027 in folgender Fassung: (5) Sofern die Länder für die Zwecke des Absatzes 1 eine gemeinsame Stelle einrichten, sind die in den §§ 55 und 56 genannten Angaben dieser Stelle zu übermitteln. Diese Stelle hat die betriebliche jährliche Therapiehäufigkeit nach Maßgabe des in Absatz 1 genannten Berechnungsverfahrens zur Ermittlung der Therapiehäufigkeit zu ermitteln und den in Absatz 3 Satz 1 und 3 genannten Behörden mitzuteilen.</w:t>
      </w:r>
    </w:p>
    <w:p>
      <w:r>
        <w:t xml:space="preserve">9 § 57 Absatz 6 gilt gemäß Artikel 5 in Verbindung mit Artikel 2 Nummer 3 Buchstabe d des Gesetzes vom 22. Dezember 2025 (BGBl. I Nr. 356) ab 1. Januar 2027 in folgender Fassung: (6) Das Bundesamt für Verbraucherschutz und Lebensmittelsicherheit hat aus den ihm mitgeteilten Angaben zur betrieblichen jährlichen Therapiehäufigkeit jährlich für jede der in der Anlage 1 Spalte 3 bezeichneten Nutzungsarten zu ermitteln: 1. als bundesweite Kennzahl 1 den Wert, unter dem 50 Prozent aller erfassten betrieblichen jährlichen Therapiehäufigkeiten liegen (Median) und 2. als bundesweite Kennzahl 2 den Wert, unter dem 75 Prozent aller erfassten betrieblichen jährlichen Therapiehäufigkeiten liegen (drittes Quartil). Das Bundesamt für Verbraucherschutz und Lebensmittelsicherheit hat die Kennzahlen nach Satz 1 im Internet auf seiner Homepage bis zum 15. Februar des Folgejahres für das jeweilige vorangegangene Kalenderjahr bekanntzumachen und unter Berücksichtigung der Nutzungsart aufzuschlüsseln.“</w:t>
      </w:r>
    </w:p>
    <w:p>
      <w:r>
        <w:t xml:space="preserve">10 § 57 Absatz 7 gilt gemäß Artikel 5 in Verbindung mit Artikel 2 Nummer 3 Buchstabe e des Gesetzes vom 22. Dezember 2025 (BGBl. I Nr. 356) ab 1. Januar 2027 in folgender Fassung: (7) Die zuständige Behörde oder die gemeinsame Stelle nach Absatz 5 hat der Tierhalterin oder dem Tierhalter die nach Absatz 1 ermittelte betriebliche jährliche Therapiehäufigkeit für die jeweiligen von ihr oder von ihm gehaltenen Tiere der Nutzungsarten nach der Anlage 1 Spalte 3 mitzuteilen. Die Mitteilung nach Satz 1 ist für das Kalenderjahr spätestens am 1. Februar des Folgejahres zu machen.</w:t>
      </w:r>
    </w:p>
    <w:p>
      <w:r>
        <w:rPr>
          <w:color w:val="555555"/>
          <w:sz w:val="17"/>
        </w:rPr>
        <w:t xml:space="preserve">Zitiervorschlag: § 57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