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TAMG — Nutzungsarten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Für die Zwecke dieses Unterabschnittes sind die in der Anlage 1 Spalte 2 bezeichneten Nutzungsarten zu Grunde zu legen:</w:t>
      </w:r>
    </w:p>
    <w:p>
      <w:pPr>
        <w:ind w:left="420"/>
      </w:pPr>
      <w:r>
        <w:t xml:space="preserve">1. hinsichtlich der Verringerung der Behandlung mit antibiotisch wirksamen Arzneimitteln die in der Anlage 1 Spalte 3 bezeichneten Nutzungsarten und</w:t>
      </w:r>
    </w:p>
    <w:p>
      <w:pPr>
        <w:ind w:left="420"/>
      </w:pPr>
      <w:r>
        <w:t xml:space="preserve">2. hinsichtlich der tierärztlichen Mitteilungen über die Arzneimittelverwendung die in der Anlage 1 Spalte 4 bezeichneten Nutzungsarten.</w:t>
      </w:r>
    </w:p>
    <w:p>
      <w:r>
        <w:rPr>
          <w:color w:val="555555"/>
          <w:sz w:val="17"/>
        </w:rPr>
        <w:t xml:space="preserve">Zitiervorschlag: § 54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