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TAMG — Verordnungsermächtigungen zur Regelung der Kennzeichnung, der Packungsbeilage, der Packungsgrößen und der Preise</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Das Bundesministerium für Ernährung und Landwirtschaft wird ermächtigt, im Einvernehmen mit dem Bundesministerium für Gesundheit durch Rechtsverordnung mit Zustimmung des Bundesrates die Kennzeichnung von Tierarzneimitteln zu regeln, die zur klinischen Prüfung bestimmt sind. Satz 1 gilt nur, soweit die Kennzeichnung geboten ist, um eine unmittelbare oder mittelbare Gefährdung der Gesundheit von Mensch und Tier zu verhindern, die infolge mangelnder Kennzeichnung eintreten könnte.</w:t>
      </w:r>
    </w:p>
    <w:p>
      <w:r>
        <w:t xml:space="preserve">(2) Eine Rechtsverordnung nach Absatz 1 ergeht im Einvernehmen mit dem Bundesministerium für Umwelt, Naturschutz, nukleare Sicherheit und Verbraucherschutz, soweit es sich um Tierarzneimittel handelt, die radioaktiv sind oder bei deren Herstellung ionisierende Strahlen verwendet werden.</w:t>
      </w:r>
    </w:p>
    <w:p>
      <w:r>
        <w:t xml:space="preserve">(3) Das Bundesministerium für Ernährung und Landwirtschaft wird ferner ermächtigt, durch Rechtsverordnung ohne Zustimmung des Bundesrates zu bestimmen, dass Tierarzneimittel nur in bestimmten Packungsgrößen in den Verkehr gebracht werden dürfen. Die Bestimmung dieser Packungsgrößen erfolgt für bestimmte Wirkstoffe und berücksichtigt die Anwendungsgebiete, die Anwendungsdauer und die Darreichungsform des Tierarzneimittels.</w:t>
      </w:r>
    </w:p>
    <w:p>
      <w:r>
        <w:t xml:space="preserve">(4) Das Bundesministerium für Landwirtschaft, Ernährung und Heimat wird ferner ermächtigt, durch Rechtsverordnung mit Zustimmung des Bundesrates Folgendes festzusetzen:</w:t>
      </w:r>
    </w:p>
    <w:p>
      <w:pPr>
        <w:ind w:left="420"/>
      </w:pPr>
      <w:r>
        <w:t xml:space="preserve">1. die Preisspannen für Tierarzneimittel, die im Großhandel, in Apotheken oder von Tierärztinnen oder Tierärzten im Wiederverkauf abgegeben werden,</w:t>
      </w:r>
    </w:p>
    <w:p>
      <w:pPr>
        <w:ind w:left="420"/>
      </w:pPr>
      <w:r>
        <w:t xml:space="preserve">2. die Preise für Tierarzneimittel, die in Apotheken oder von Tierärztinnen oder Tierärzten zubereitet und abgegeben werden, sowie für Abgabegefäße und</w:t>
      </w:r>
    </w:p>
    <w:p>
      <w:pPr>
        <w:ind w:left="420"/>
      </w:pPr>
      <w:r>
        <w:t xml:space="preserve">3. die Preise für besondere Leistungen der Apotheken bei der Abgabe von Tierarzneimitteln.</w:t>
      </w:r>
    </w:p>
    <w:p>
      <w:r>
        <w:t xml:space="preserve">(5) Die Preisspannen nach Absatz 4 Satz 1 Nummer 1 gelten auch für Herstellerinnen und Hersteller von Tierarzneimitteln, soweit sie für das betreffende Tierarzneimittel eine Herstellungserlaubnis innehaben, bei der Abgabe an Apotheken, die die Tierarzneimittel zur Abgabe an Verbraucherinnen und Verbraucher beziehen.</w:t>
      </w:r>
    </w:p>
    <w:p>
      <w:r>
        <w:t xml:space="preserve">(6) Die Preisspannen und die Preise nach den Absätzen 4 und 5 müssen den berechtigten Interessen der Verbraucherinnen und Verbraucher, der Tierärztinnen und Tierärzte, der Apotheken und des Großhandels Rechnung tragen.</w:t>
      </w:r>
    </w:p>
    <w:p>
      <w:r>
        <w:rPr>
          <w:color w:val="555555"/>
          <w:sz w:val="17"/>
        </w:rPr>
        <w:t xml:space="preserve">Zitiervorschlag: § 53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