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TAMG — Bezug und Abgabe von Stoffen und Zubereitungen aus Stoffen, die bei Tieren angewendet werden dürfen</w:t>
      </w:r>
    </w:p>
    <w:p>
      <w:r>
        <w:rPr>
          <w:color w:val="555555"/>
          <w:sz w:val="18"/>
        </w:rPr>
        <w:t xml:space="preserve">Tierarzneimittelgesetz</w:t>
      </w:r>
    </w:p>
    <w:p>
      <w:r>
        <w:rPr>
          <w:color w:val="555555"/>
          <w:sz w:val="18"/>
        </w:rPr>
        <w:t xml:space="preserve">Stand: 14.08.2026 (konsolidierte Textfassung, kein amtliches Inkrafttretensdatum)</w:t>
      </w:r>
    </w:p>
    <w:p>
      <w:r>
        <w:t xml:space="preserve">(1) Tierärztinnen und Tierärzte dürfen Stoffe, die als Wirkstoffe in apothekenpflichtigen Tierarzneimitteln oder in Arzneimitteln nach § 2 Absatz 1, 2 oder 3a des Arzneimittelgesetzes, die für den Verkehr außerhalb von Apotheken nicht freigegeben sind, vorkommen, oder Zubereitungen aus solchen Stoffen zur Anwendung bei Tieren nur beziehen und lagern, wenn die betreffenden Stoffe oder Zubereitungen als Tierarzneimittel oder Arzneimittel zugelassen sind. Herstellerinnen, Hersteller, Großhändlerinnen und Großhändler dürfen solche Stoffe oder Zubereitungen an Tierärztinnen und Tierärzte nur abgeben, wenn die betreffenden Stoffe oder Zubereitungen als Tierarzneimittel oder Arzneimittel zugelassen sind.</w:t>
      </w:r>
    </w:p>
    <w:p>
      <w:r>
        <w:t xml:space="preserve">(2) Tierhalterinnen und Tierhalter dürfen Stoffe oder Zubereitungen nach Absatz 1 nur erwerben oder lagern, wenn sie von einer Tierärztin oder einem Tierarzt als Tierarzneimittel oder Arzneimittel verschrieben oder durch eine Tierärztin oder einen Tierarzt als solches abgegeben worden sind.</w:t>
      </w:r>
    </w:p>
    <w:p>
      <w:r>
        <w:t xml:space="preserve">(3) Personen, Betriebe und Einrichtungen, die nicht § 45 Absatz 1 unterfallen, dürfen Stoffe oder Zubereitungen aus Stoffen nicht erwerben, lagern, verpacken oder auf dem Markt bereitstellen, die</w:t>
      </w:r>
    </w:p>
    <w:p>
      <w:pPr>
        <w:ind w:left="420"/>
      </w:pPr>
      <w:r>
        <w:t xml:space="preserve">1. in Tierarzneimitteln, die nach den Vorschriften der Verordnung (EU) 2019/6 in der Fassung vom 23. November 2022 oder den Vorschriften dieses Gesetzes verschreibungspflichtig sind, enthalten sind oder</w:t>
      </w:r>
    </w:p>
    <w:p>
      <w:pPr>
        <w:ind w:left="420"/>
      </w:pPr>
      <w:r>
        <w:t xml:space="preserve">2. durch Rechtsverordnung nach § 48 Absatz 2 des Arzneimittelgesetzes bestimmt sind.</w:t>
      </w:r>
    </w:p>
    <w:p>
      <w:r>
        <w:t xml:space="preserve">Satz 1 gilt nicht, wenn die Stoffe oder Zubereitungen für einen anderen Zweck als zur Anwendung bei Tieren bestimmt sind.</w:t>
      </w:r>
    </w:p>
    <w:p>
      <w:r>
        <w:t xml:space="preserve">(4) Personen, Betriebe und Einrichtungen haben Nachweise über den Bezug oder die Abgabe von Stoffen oder Zubereitungen aus Stoffen zu führen, aus denen sich der Vorlieferant oder der Empfänger sowie die jeweils erhaltene oder abgegebene Menge ergeben, wenn</w:t>
      </w:r>
    </w:p>
    <w:p>
      <w:pPr>
        <w:ind w:left="420"/>
      </w:pPr>
      <w:r>
        <w:t xml:space="preserve">1. es sich um Stoffe oder Zubereitungen aus Stoffen handelt, die</w:t>
      </w:r>
    </w:p>
    <w:p>
      <w:pPr>
        <w:ind w:left="780"/>
      </w:pPr>
      <w:r>
        <w:t xml:space="preserve">a) als Tierarzneimittel oder zur Herstellung von Tierarzneimitteln verwendet werden können und</w:t>
      </w:r>
    </w:p>
    <w:p>
      <w:pPr>
        <w:ind w:left="780"/>
      </w:pPr>
      <w:r>
        <w:t xml:space="preserve">b) anabole, infektionshemmende, parasitenabwehrende, entzündungshemmende, hormonale oder psychotrope Eigenschaften aufweisen, und</w:t>
      </w:r>
    </w:p>
    <w:p>
      <w:pPr>
        <w:ind w:left="420"/>
      </w:pPr>
      <w:r>
        <w:t xml:space="preserve">2. die Personen, Betriebe und Einrichtungen diese Stoffe oder Zubereitungen aus Stoffen herstellen, lagern, einführen oder auf dem Markt bereitstellen.</w:t>
      </w:r>
    </w:p>
    <w:p>
      <w:r>
        <w:t xml:space="preserve">Die Nachweise nach Satz 1 sind mindestens drei Jahre aufzubewahren und auf Verlangen der zuständigen Behörde vorzulegen. Die Nachweise nach Satz 1 sind chronologisch unter Angabe der Vorlieferantin oder des Vorlieferanten und der Empfängerin oder des Empfängers zu führen, soweit es sich um Stoffe oder Zubereitungen aus Stoffen mit thyreostatischer, östrogener, androgener oder gestagener Wirkung und um ß‑Agonisten mit anaboler Wirkung handelt. Die Führung der Nachweise nach Satz 3 umfasst</w:t>
      </w:r>
    </w:p>
    <w:p>
      <w:pPr>
        <w:ind w:left="420"/>
      </w:pPr>
      <w:r>
        <w:t xml:space="preserve">1. die hergestellten oder erworbenen Mengen sowie</w:t>
      </w:r>
    </w:p>
    <w:p>
      <w:pPr>
        <w:ind w:left="420"/>
      </w:pPr>
      <w:r>
        <w:t xml:space="preserve">2. die zur Herstellung von Arzneimitteln veräußerten oder verwendeten Mengen.</w:t>
      </w:r>
    </w:p>
    <w:p>
      <w:r>
        <w:t xml:space="preserve">(5) Die futtermittelrechtlichen Vorschriften bleiben unberührt.</w:t>
      </w:r>
    </w:p>
    <w:p>
      <w:r>
        <w:rPr>
          <w:color w:val="555555"/>
          <w:sz w:val="17"/>
        </w:rPr>
        <w:t xml:space="preserve">Zitiervorschlag: § 48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