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TAMG — Abgabe verschreibungspflichtiger Tierarzneimittel und veterinärmedizintechnischer Produkte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(1) Ein nach Artikel 34 Absatz 1 oder 2 der Verordnung (EU) 2019/6 in der Fassung vom 23. November 2022 oder nach § 24 Absatz 1 oder 2 verschreibungspflichtiges Tierarzneimittel oder veterinärmedizintechnisches Produkt darf im Geltungsbereich dieses Gesetzes nur im Rahmen des Betriebes einer tierärztlichen Hausapotheke oder durch Apotheken auf tierärztliche Verschreibung auf dem Markt bereitgestellt werden. Satz 1 gilt nicht für inaktivierte immunologische Tierarzneimittel nach Artikel 2 Absatz 3 der Verordnung (EU) 2019/6 in der Fassung vom 23. November 2022.</w:t>
      </w:r>
    </w:p>
    <w:p>
      <w:r>
        <w:t xml:space="preserve">(2) Die Abgabe eines verschreibungspflichtigen Tierarzneimittels oder veterinärmedizintechnischen Produkts ist auf die jeweils verschriebene Menge beschränkt.</w:t>
      </w:r>
    </w:p>
    <w:p>
      <w:r>
        <w:rPr>
          <w:color w:val="555555"/>
          <w:sz w:val="17"/>
        </w:rPr>
        <w:t xml:space="preserve">Zitiervorschlag: § 47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