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TAMG — Abgabe von Mustern</w:t>
      </w:r>
    </w:p>
    <w:p>
      <w:r>
        <w:rPr>
          <w:color w:val="555555"/>
          <w:sz w:val="18"/>
        </w:rPr>
        <w:t xml:space="preserve">Tierarzneimittelgesetz</w:t>
      </w:r>
    </w:p>
    <w:p>
      <w:r>
        <w:rPr>
          <w:color w:val="555555"/>
          <w:sz w:val="18"/>
        </w:rPr>
        <w:t xml:space="preserve">Stand: 14.08.2026 (konsolidierte Textfassung, kein amtliches Inkrafttretensdatum)</w:t>
      </w:r>
    </w:p>
    <w:p>
      <w:r>
        <w:t xml:space="preserve">(1) Inhaberinnen und Inhaber einer Großhandelsvertriebserlaubnis dürfen ein Muster eines Tierarzneimittels oder eines veterinärmedizintechnischen Produkts nur abgeben an</w:t>
      </w:r>
    </w:p>
    <w:p>
      <w:pPr>
        <w:ind w:left="420"/>
      </w:pPr>
      <w:r>
        <w:t xml:space="preserve">1. eine Tierärztin oder einen Tierarzt in der kleinsten Packungsgröße und pro Jahr jeweils nicht mehr als zwei Muster oder</w:t>
      </w:r>
    </w:p>
    <w:p>
      <w:pPr>
        <w:ind w:left="420"/>
      </w:pPr>
      <w:r>
        <w:t xml:space="preserve">2. Hochschulen, soweit es sich um Zwecke der Ausbildung der Studierenden der Pharmazie und der Veterinärmedizin handelt, in einem dem Zweck der Ausbildung angemessenen Umfang.</w:t>
      </w:r>
    </w:p>
    <w:p>
      <w:r>
        <w:t xml:space="preserve">(2) Ein Muster eines Tierarzneimittels oder eines veterinärmedizintechnischen Produkts darf an Personen und Hochschulen nach Absatz 1 nur auf eine schriftliche oder elektronische Anforderung abgegeben werden. Mit den Mustern ist die Fachinformation nach Artikel 35 der Verordnung (EU) 2019/6 in der Fassung vom 23. November 2022 oder nach § 27 zu übersenden, soweit eine Fachinformation vorgeschrieben ist. Über die empfangende Person eines Musters sowie über Art, Umfang und Zeitpunkt der Abgabe des Musters sind für jede Person gesondert Nachweise zu führen. Die Nachweise nach Satz 2 sind auf Verlangen der zuständigen Behörde vorzulegen.</w:t>
      </w:r>
    </w:p>
    <w:p>
      <w:r>
        <w:t xml:space="preserve">(3) Ein Muster darf keine Stoffe oder Zubereitungen im Sinne von § 2 Absatz 1 Nummer 1 und 2 des Betäubungsmittelgesetzes enthalten, die in Anlage II oder III des Betäubungsmittelgesetzes aufgeführt sind.</w:t>
      </w:r>
    </w:p>
    <w:p>
      <w:r>
        <w:t xml:space="preserve">(4) Die Absätze 1 bis 3 gelten für Herstellerinnen und Hersteller von Tierarzneimitteln und veterinärmedizintechnischen Produkten entsprechend, soweit sie für das betreffende Tierarzneimittel oder das betreffende veterinärmedizintechnische Produkt eine Herstellungserlaubnis innehaben.</w:t>
      </w:r>
    </w:p>
    <w:p>
      <w:r>
        <w:rPr>
          <w:color w:val="555555"/>
          <w:sz w:val="17"/>
        </w:rPr>
        <w:t xml:space="preserve">Zitiervorschlag: § 46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