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TAMG — Versand verschreibungspflichtiger Tierarzneimittel</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Der Versand verschreibungspflichtiger Tierarzneimittel und verschreibungspflichtiger veterinärmedizintechnischer Produkte ist verboten, soweit nicht in den Absätzen 2 bis 5 etwas anderes bestimmt ist.</w:t>
      </w:r>
    </w:p>
    <w:p>
      <w:r>
        <w:t xml:space="preserve">(2) Apotheken dürfen im Geltungsbereich dieses Gesetzes und unter Beachtung der Vorgaben des Apothekengesetzes im Wege des Versandes auf dem Markt bereitstellen:</w:t>
      </w:r>
    </w:p>
    <w:p>
      <w:pPr>
        <w:ind w:left="420"/>
      </w:pPr>
      <w:r>
        <w:t xml:space="preserve">1. verschreibungspflichtige veterinärmedizintechnische Produkte und</w:t>
      </w:r>
    </w:p>
    <w:p>
      <w:pPr>
        <w:ind w:left="420"/>
      </w:pPr>
      <w:r>
        <w:t xml:space="preserve">2. verschreibungspflichtige Tierarzneimittel, welche ausschließlich zur Anwendung bei Tieren zugelassen sind, die nicht der Gewinnung von Lebensmitteln dienen, wenn der Apotheke eine behördliche Erlaubnis zum Versand erteilt worden ist.</w:t>
      </w:r>
    </w:p>
    <w:p>
      <w:r>
        <w:t xml:space="preserve">(3) Im Rahmen des Betriebs einer tierärztlichen Hausapotheke darf die Tierärztin oder der Tierarzt im Einzelfall verschreibungspflichtige Tierarzneimittel und verschreibungspflichtige veterinärmedizintechnische Produkte im Geltungsbereich dieses Gesetzes an die Halterin oder den Halter der von der Tierärztin oder dem Tierarzt behandelten Tiere, die nicht der Gewinnung von Lebensmitteln dienen, durch Transportdienstleister versenden. Der Versand ist auf die Menge beschränkt, die erforderlich ist für eine kurzfristige Weiterbehandlung.</w:t>
      </w:r>
    </w:p>
    <w:p>
      <w:r>
        <w:t xml:space="preserve">(4) Die tierärztliche Verschreibung muss zuvor von der versendenden Tierärztin oder dem versendenden Tierarzt selbst ausgestellt worden sein. Artikel 105 Absatz 3 der Verordnung (EU) 2019/6 in der Fassung vom 23. November 2022 bleibt unberührt.</w:t>
      </w:r>
    </w:p>
    <w:p>
      <w:r>
        <w:t xml:space="preserve">(5) Die Tierärztin oder der Tierarzt hat sicherzustellen, dass</w:t>
      </w:r>
    </w:p>
    <w:p>
      <w:pPr>
        <w:ind w:left="420"/>
      </w:pPr>
      <w:r>
        <w:t xml:space="preserve">1. ein geeigneter Transportdienstleister ausgewählt wird,</w:t>
      </w:r>
    </w:p>
    <w:p>
      <w:pPr>
        <w:ind w:left="420"/>
      </w:pPr>
      <w:r>
        <w:t xml:space="preserve">2. der Transport und die Lieferung des Tierarzneimittels wie vom Hersteller oder auf der äußeren Umhüllung angegeben und unter den hierfür in der Zulassung des Tierarzneimittels festgelegten Bedingungen erfolgt,</w:t>
      </w:r>
    </w:p>
    <w:p>
      <w:pPr>
        <w:ind w:left="420"/>
      </w:pPr>
      <w:r>
        <w:t xml:space="preserve">3. das Tierarzneimittel so verpackt, transportiert und ausgeliefert wird, dass seine Qualität und Wirksamkeit erhalten bleibt, insbesondere ist dafür zu sorgen, dass die für das Tierarzneimittel geltenden Temperaturanforderungen während des Transports bis zur Abgabe an den Empfänger eingehalten werden; die Einhaltung muss bei besonders temperaturempfindlichen Tierarzneimitteln durch mitgeführte Temperaturkontrollen durch den Transportdienstleister valide nachgewiesen werden können, und</w:t>
      </w:r>
    </w:p>
    <w:p>
      <w:pPr>
        <w:ind w:left="420"/>
      </w:pPr>
      <w:r>
        <w:t xml:space="preserve">4. durch den Transportdienstleister ein System zur Sendungsverfolgung unterhalten wird.</w:t>
      </w:r>
    </w:p>
    <w:p>
      <w:r>
        <w:rPr>
          <w:color w:val="555555"/>
          <w:sz w:val="17"/>
        </w:rPr>
        <w:t xml:space="preserve">Zitiervorschlag: § 44a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