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TAMG — Tierärztliches Dispensierrecht</w:t>
      </w:r>
    </w:p>
    <w:p>
      <w:r>
        <w:rPr>
          <w:color w:val="555555"/>
          <w:sz w:val="18"/>
        </w:rPr>
        <w:t xml:space="preserve">Tierarzneimittelgesetz</w:t>
      </w:r>
    </w:p>
    <w:p>
      <w:r>
        <w:rPr>
          <w:color w:val="555555"/>
          <w:sz w:val="18"/>
        </w:rPr>
        <w:t xml:space="preserve">Stand: 14.08.2026 (konsolidierte Textfassung, kein amtliches Inkrafttretensdatum)</w:t>
      </w:r>
    </w:p>
    <w:p>
      <w:r>
        <w:t xml:space="preserve">(1) Abweichend von § 43 darf eine Tierärztin oder ein Tierarzt im Rahmen des Betriebes einer tierärztlichen Hausapotheke ein als apothekenpflichtig kategorisiertes Tierarzneimittel oder veterinärmedizintechnisches Produkt im Geltungsbereich dieses Gesetzes im Einzelhandel auf dem Markt bereitstellen. Satz 1 gilt auch für nach § 49 Absatz 1 Nummer 2 durch die Tierärztin oder den Tierarzt bezogene Arzneimittel im Sinne von § 2 Absatz 1, 2 und 3a des Arzneimittelgesetzes und für nach § 35f bezogene inaktivierte immunologische Tierarzneimittel nach Artikel 2 Absatz 3 der Verordnung (EU) 2019/6 in der Fassung vom 23. November 2022. Die Einzelhandelstätigkeit nach Satz 1 umfasst</w:t>
      </w:r>
    </w:p>
    <w:p>
      <w:pPr>
        <w:ind w:left="420"/>
      </w:pPr>
      <w:r>
        <w:t xml:space="preserve">1. die Abgabe durch eine Tierärztin oder einen Tierarzt an Halterinnen und Halter der von ihr oder ihm behandelten Tiere,</w:t>
      </w:r>
    </w:p>
    <w:p>
      <w:pPr>
        <w:ind w:left="420"/>
      </w:pPr>
      <w:r>
        <w:t xml:space="preserve">2. das Vorrätighalten zu dem Zweck nach Nummer 1,</w:t>
      </w:r>
    </w:p>
    <w:p>
      <w:pPr>
        <w:ind w:left="420"/>
      </w:pPr>
      <w:r>
        <w:t xml:space="preserve">3. die Abgabe durch eine Tierärztin oder einen Tierarzt an Halterinnen und Halter der von ihr oder ihm behandelten Tiere zur Durchführung tierärztlich gebotener und tierärztlich kontrollierter krankheitsvorbeugender Maßnahmen bei Tieren sowie</w:t>
      </w:r>
    </w:p>
    <w:p>
      <w:pPr>
        <w:ind w:left="420"/>
      </w:pPr>
      <w:r>
        <w:t xml:space="preserve">4. die Abgabe durch eine Tierärztin oder einen Tierarzt an Hofmischerinnen und Hofmischer nach Artikel 3 Absatz 2 Buchstabe g der Verordnung (EU) 2019/4 in der Fassung vom 11. Dezember 2018 zum Zweck der Herstellung von Arzneifuttermitteln oder Zwischenerzeugnissen im Sinne der Verordnung (EU) 2019/4 in der Fassung vom 11. Dezember 2018 für die von ihnen behandelten Tiere; dies gilt nur dann, wenn ein Tierarzneimittel für diesen Zweck zugelassen ist.</w:t>
      </w:r>
    </w:p>
    <w:p>
      <w:r>
        <w:t xml:space="preserve">Abweichend von Satz 3 umfasst die Einzelhandelstätigkeit nach Satz 1 nicht die Abgabe von inaktivierten immunologischen Tierarzneimitteln nach Artikel 2 Absatz 3 der Verordnung (EU) 2019/6 in der Fassung vom 23. November 2022 durch eine Tierärztin oder einen Tierarzt an Hofmischerinnen und Hofmischer.</w:t>
      </w:r>
    </w:p>
    <w:p>
      <w:r>
        <w:t xml:space="preserve">(2) Der Umfang der Abgabe darf den auf Grund der tierärztlichen Indikation festgestellten Bedarf nicht überschreiten. Mit der Abgabe ist der Tierhalterin oder dem Tierhalter unverzüglich eine schriftliche oder elektronische Anweisung über Art, Zeitpunkt und Dauer der Anwendung (tierärztliche Behandlungsanweisung) auszuhändigen.</w:t>
      </w:r>
    </w:p>
    <w:p>
      <w:r>
        <w:t xml:space="preserve">(3) Die Abgabe eines verschreibungspflichtigen Tierarzneimittels oder veterinärmedizintechnischen Produkts zur Anwendung bei Tieren, die der Gewinnung von Lebensmitteln dienen, darf nur erfolgen, wenn</w:t>
      </w:r>
    </w:p>
    <w:p>
      <w:pPr>
        <w:ind w:left="420"/>
      </w:pPr>
      <w:r>
        <w:t xml:space="preserve">1. die abgegebene Menge bestimmt ist zur Anwendung innerhalb der auf die Abgabe folgenden</w:t>
      </w:r>
    </w:p>
    <w:p>
      <w:pPr>
        <w:ind w:left="780"/>
      </w:pPr>
      <w:r>
        <w:t xml:space="preserve">a) sieben Tage für den Fall, dass das Tierarzneimittel oder veterinärmedizintechnische Produkt antimikrobiell wirksame Stoffe enthält und nach den Zulassungsbedingungen nicht ausschließlich zur lokalen Anwendung vorgesehen ist, oder</w:t>
      </w:r>
    </w:p>
    <w:p>
      <w:pPr>
        <w:ind w:left="780"/>
      </w:pPr>
      <w:r>
        <w:t xml:space="preserve">b) 31 Tage in allen anderen Fällen als denen nach Buchstabe a und</w:t>
      </w:r>
    </w:p>
    <w:p>
      <w:pPr>
        <w:ind w:left="420"/>
      </w:pPr>
      <w:r>
        <w:t xml:space="preserve">2. die Zulassungsbedingungen nicht eine längere Anwendungsdauer als die nach Nummer 1 vorsehen.</w:t>
      </w:r>
    </w:p>
    <w:p>
      <w:r>
        <w:t xml:space="preserve">Satz 1 gilt nicht für immunologische Tierarzneimittel, einschließlich inaktivierter immunologischer Tierarzneimittel nach Artikel 2 Absatz 3 der Verordnung (EU) 2019/6 in der Fassung vom 23. November 2022.</w:t>
      </w:r>
    </w:p>
    <w:p>
      <w:r>
        <w:t xml:space="preserve">(4) Ein Tierarzneimittel oder ein veterinärmedizintechnisches Produkt darf im Rahmen der Übergabe einer tierärztlichen Praxis an die Person abgegeben werden, die in die Rechtsstellung eingetreten ist und die die tierärztliche Hausapotheke weiter betreibt.</w:t>
      </w:r>
    </w:p>
    <w:p>
      <w:r>
        <w:rPr>
          <w:color w:val="555555"/>
          <w:sz w:val="17"/>
        </w:rPr>
        <w:t xml:space="preserve">Zitiervorschlag: § 44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