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 TAMG — Grundsatz</w:t>
      </w:r>
    </w:p>
    <w:p>
      <w:r>
        <w:rPr>
          <w:color w:val="555555"/>
          <w:sz w:val="18"/>
        </w:rPr>
        <w:t xml:space="preserve">Tierarzneimittelgesetz</w:t>
      </w:r>
    </w:p>
    <w:p>
      <w:r>
        <w:rPr>
          <w:color w:val="555555"/>
          <w:sz w:val="18"/>
        </w:rPr>
        <w:t xml:space="preserve">Stand: 14.08.2026 (konsolidierte Textfassung, kein amtliches Inkrafttretensdatum)</w:t>
      </w:r>
    </w:p>
    <w:p>
      <w:r>
        <w:t xml:space="preserve">Ein nach Artikel 34 Absatz 1 oder 2 der Verordnung (EU) 2019/6 in der Fassung vom 23. November 2022 oder nach § 24 Absatz 1 oder 2 oder § 35a verschreibungspflichtiges Tierarzneimittel oder veterinärmedizintechnisches Produkt darf im Geltungsbereich dieses Gesetzes nur gemäß den Festlegungen der tierärztlichen Verschreibung abgegeben werden.</w:t>
      </w:r>
    </w:p>
    <w:p>
      <w:r>
        <w:rPr>
          <w:color w:val="555555"/>
          <w:sz w:val="17"/>
        </w:rPr>
        <w:t xml:space="preserve">Zitiervorschlag: § 42 TAMG</w:t>
      </w:r>
    </w:p>
    <w:p>
      <w:r>
        <w:rPr>
          <w:color w:val="555555"/>
          <w:sz w:val="17"/>
        </w:rPr>
        <w:t xml:space="preserve">Quelle: Bundesamt für Justiz, abgerufen 14.08.2026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https://recht.nulegal.eu/gesetze/TAMG/42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