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TAMG — Zuordnung zu den einzelnen Kategorien der Verkaufsabgrenzung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zuständige Bundesoberbehörde ordnet ein zugelassenes oder registriertes Tierarzneimittel oder veterinärmedizintechnisches Produkt nach den in der Rechtsverordnung nach § 40 Absatz 3 festgelegten Einteilungskriterien einer Kategorie zu.</w:t>
      </w:r>
    </w:p>
    <w:p>
      <w:r>
        <w:t xml:space="preserve">(2) Die zuständige Bundesoberbehörde überprüft die Zuordnung in regelmäßigen Abständen oder auf Antrag der Inhaberin oder des Inhabers der Zulassung und passt sie dem Stand von Wissenschaft und Technik an.</w:t>
      </w:r>
    </w:p>
    <w:p>
      <w:r>
        <w:rPr>
          <w:color w:val="555555"/>
          <w:sz w:val="17"/>
        </w:rPr>
        <w:t xml:space="preserve">Zitiervorschlag: § 41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