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TAMG — Kategorisierung; Verordnungsermächtigung</w:t>
      </w:r>
    </w:p>
    <w:p>
      <w:r>
        <w:rPr>
          <w:color w:val="555555"/>
          <w:sz w:val="18"/>
        </w:rPr>
        <w:t xml:space="preserve">Tierarzneimittelgesetz</w:t>
      </w:r>
    </w:p>
    <w:p>
      <w:r>
        <w:rPr>
          <w:color w:val="555555"/>
          <w:sz w:val="18"/>
        </w:rPr>
        <w:t xml:space="preserve">Stand: 14.08.2026 (konsolidierte Textfassung, kein amtliches Inkrafttretensdatum)</w:t>
      </w:r>
    </w:p>
    <w:p>
      <w:r>
        <w:t xml:space="preserve">(1) Tierarzneimittel und veterinärmedizintechnische Produkte werden als apothekenpflichtig oder als frei verkäuflich kategorisiert.</w:t>
      </w:r>
    </w:p>
    <w:p>
      <w:r>
        <w:t xml:space="preserve">(2) Verschreibungspflichtige Tierarzneimittel und veterinärmedizintechnische Produkte nach der Verordnung (EU) 2019/6 in der Fassung vom 23. November 2022 oder nach den Vorschriften dieses Gesetzes sind stets apothekenpflichtig. Tierarzneimittel und veterinärmedizintechnische Produkte, die keiner Pflicht zur Zulassung oder zur Registrierung unterliegen oder die von der Pflicht zur Zulassung nach § 4 freigestellt sind, sind stets frei verkäuflich. Die Sätze 1 und 2 gelten nicht für inaktivierte immunologische Tierarzneimittel nach Artikel 2 Absatz 3 der Verordnung (EU) 2019/6 in der Fassung vom 23. November 2022.</w:t>
      </w:r>
    </w:p>
    <w:p>
      <w:r>
        <w:t xml:space="preserve">(3) Das Bundesministerium für Ernährung und Landwirtschaft wird ermächtigt, im Einvernehmen mit dem Bundesministerium für Gesundheit durch Rechtsverordnung mit Zustimmung des Bundesrates die Einteilungskriterien für die Kategorien nach Absatz 1 festzulegen.</w:t>
      </w:r>
    </w:p>
    <w:p>
      <w:r>
        <w:rPr>
          <w:color w:val="555555"/>
          <w:sz w:val="17"/>
        </w:rPr>
        <w:t xml:space="preserve">Zitiervorschlag: § 40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