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TAMG — Freistellung von Tierarzneimitteln für bestimmte Heimtiere von der Pflicht zur Zulassung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Die zuständige Bundesoberbehörde stellt ein Tierarzneimittel im Geltungsbereich dieses Gesetzes auf Antrag von dem Erfordernis einer Zulassung nach Artikel 5 Absatz 1 der Verordnung (EU) 2019/6 in der Fassung vom 23. November 2022 frei, wenn</w:t>
      </w:r>
    </w:p>
    <w:p>
      <w:pPr>
        <w:ind w:left="420"/>
      </w:pPr>
      <w:r>
        <w:t xml:space="preserve">1. das Tierarzneimittel</w:t>
      </w:r>
    </w:p>
    <w:p>
      <w:pPr>
        <w:ind w:left="780"/>
      </w:pPr>
      <w:r>
        <w:t xml:space="preserve">a) für ausschließlich als Heimtiere gehaltene, nicht der Gewinnung von Lebensmitteln dienende Tiere bestimmt ist, bei denen es sich um in Aquarien oder Teichen gehaltene Tiere, Zierfische, Ziervögel, Brieftauben, Terrarium-Tiere, Kleinnager, Frettchen oder Hauskaninchen handelt,</w:t>
      </w:r>
    </w:p>
    <w:p>
      <w:pPr>
        <w:ind w:left="780"/>
      </w:pPr>
      <w:r>
        <w:t xml:space="preserve">b) zur äußerlichen oder oralen Anwendung oder zur Anwendung im Wasser bei im Wasser lebenden Tierarten bestimmt ist,</w:t>
      </w:r>
    </w:p>
    <w:p>
      <w:pPr>
        <w:ind w:left="780"/>
      </w:pPr>
      <w:r>
        <w:t xml:space="preserve">c) nicht nach Artikel 34 der Verordnung (EU) 2019/6 in der Fassung vom 23. November 2022 als verschreibungspflichtig einzustufen ist,</w:t>
      </w:r>
    </w:p>
    <w:p>
      <w:pPr>
        <w:ind w:left="780"/>
      </w:pPr>
      <w:r>
        <w:t xml:space="preserve">d) nicht Artikel 42 Absatz 2 und 3 der Verordnung (EU) 2019/6 in der Fassung vom 23. November 2022 unterfällt,</w:t>
      </w:r>
    </w:p>
    <w:p>
      <w:pPr>
        <w:ind w:left="780"/>
      </w:pPr>
      <w:r>
        <w:t xml:space="preserve">e) in einer für die Anwendung bei Heimtieren angemessenen Packungsgröße bereitgestellt werden soll und</w:t>
      </w:r>
    </w:p>
    <w:p>
      <w:pPr>
        <w:ind w:left="420"/>
      </w:pPr>
      <w:r>
        <w:t xml:space="preserve">2. die Antragstellerin oder der Antragsteller ihren oder seinen Sitz in der Europäischen Union oder in einem Vertragsstaat des Abkommens über den Europäischen Wirtschaftsraum hat.</w:t>
      </w:r>
    </w:p>
    <w:p>
      <w:r>
        <w:t xml:space="preserve">Die Packungsgröße eines Tierarzneimittels ist angemessen im Sinne des Satzes 1 Nummer 1 Buchstabe e, wenn sie für eine einmalige Heilbehandlung bis zur Symptomlinderung oder für eine bis zu sechsmonatige präventive Behandlung ausreicht</w:t>
      </w:r>
    </w:p>
    <w:p>
      <w:pPr>
        <w:ind w:left="420"/>
      </w:pPr>
      <w:r>
        <w:t xml:space="preserve">1. bei in Aquarien oder Teichen mit einem Fassungsvermögen bis zu 25 000 Litern gehaltenen Tieren oder Zierfischen im Rahmen eines bestimmten Behandlungsplans mit bis zu sieben Anwendungen,</w:t>
      </w:r>
    </w:p>
    <w:p>
      <w:pPr>
        <w:ind w:left="420"/>
      </w:pPr>
      <w:r>
        <w:t xml:space="preserve">2. bei einer Anzahl von bis zu 50 Ziervögeln oder Brieftauben oder</w:t>
      </w:r>
    </w:p>
    <w:p>
      <w:pPr>
        <w:ind w:left="420"/>
      </w:pPr>
      <w:r>
        <w:t xml:space="preserve">3. bei einer Anzahl von bis zu fünf Terrarium-Tieren, Kleinnagern, Frettchen oder Hauskaninchen.</w:t>
      </w:r>
    </w:p>
    <w:p>
      <w:r>
        <w:t xml:space="preserve">(2) Ein Antrag auf Freistellung ist elektronisch unter Nutzung der von der zuständigen Bundesoberbehörde zur Verfügung gestellten Formatvorlage zu stellen. Dem Antrag ist Folgendes beizufügen:</w:t>
      </w:r>
    </w:p>
    <w:p>
      <w:pPr>
        <w:ind w:left="420"/>
      </w:pPr>
      <w:r>
        <w:t xml:space="preserve">1. die für die Produktdatenbank erforderlichen Informationen nach der Durchführungsverordnung (EU) 2021/16 in der Fassung vom 8. Januar 2021 sowie</w:t>
      </w:r>
    </w:p>
    <w:p>
      <w:pPr>
        <w:ind w:left="420"/>
      </w:pPr>
      <w:r>
        <w:t xml:space="preserve">2. Entwürfe der Angaben auf der äußeren Umhüllung und auf der Primärverpackung (Kennzeichnung) sowie auf der Packungsbeilage nach § 5 Absatz 1.</w:t>
      </w:r>
    </w:p>
    <w:p>
      <w:r>
        <w:t xml:space="preserve">(3) Sind die Voraussetzungen nach den Absätzen 1 und 2 erfüllt, erteilt die zuständige Bundesoberbehörde die Freistellung schriftlich oder elektronisch unter Zuteilung einer Freistellungsnummer. Die Freistellung bestimmt</w:t>
      </w:r>
    </w:p>
    <w:p>
      <w:pPr>
        <w:ind w:left="420"/>
      </w:pPr>
      <w:r>
        <w:t xml:space="preserve">1. die Zieltierart, bei der das Tierarzneimittel angewendet werden soll,</w:t>
      </w:r>
    </w:p>
    <w:p>
      <w:pPr>
        <w:ind w:left="420"/>
      </w:pPr>
      <w:r>
        <w:t xml:space="preserve">2. das Anwendungsgebiet des Tierarzneimittels,</w:t>
      </w:r>
    </w:p>
    <w:p>
      <w:pPr>
        <w:ind w:left="420"/>
      </w:pPr>
      <w:r>
        <w:t xml:space="preserve">3. die Art der Anwendung des Tierarzneimittels,</w:t>
      </w:r>
    </w:p>
    <w:p>
      <w:pPr>
        <w:ind w:left="420"/>
      </w:pPr>
      <w:r>
        <w:t xml:space="preserve">4. den Wirkstoff,</w:t>
      </w:r>
    </w:p>
    <w:p>
      <w:pPr>
        <w:ind w:left="420"/>
      </w:pPr>
      <w:r>
        <w:t xml:space="preserve">5. die Dosierung und</w:t>
      </w:r>
    </w:p>
    <w:p>
      <w:pPr>
        <w:ind w:left="420"/>
      </w:pPr>
      <w:r>
        <w:t xml:space="preserve">6. die Packungsgröße.</w:t>
      </w:r>
    </w:p>
    <w:p>
      <w:r>
        <w:t xml:space="preserve">Die Bundesoberbehörde entscheidet innerhalb einer Frist von fünf Monaten nach der Vorlage eines vollständigen Antrages.</w:t>
      </w:r>
    </w:p>
    <w:p>
      <w:r>
        <w:t xml:space="preserve">(4) Vorbehaltlich des Satzes 2 hat die Inhaberin oder der Inhaber einer Freistellung Änderungen der Informationen und Entwürfe nach Absatz 2 der zuständigen Bundesoberbehörde unverzüglich anzuzeigen. Im Fall einer Änderung der in Absatz 3 Satz 2 bezeichneten Bestimmungen hat die Inhaberin oder der Inhaber einer Freistellung eine neue Freistellung zu beantragen.</w:t>
      </w:r>
    </w:p>
    <w:p>
      <w:r>
        <w:rPr>
          <w:color w:val="555555"/>
          <w:sz w:val="17"/>
        </w:rPr>
        <w:t xml:space="preserve">Zitiervorschlag: § 4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