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TAMG — Verbot der Anwendung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Es ist verboten, ein Tierarzneimittel oder ein veterinärmedizintechnisches Produkt entgegen den Zulassungsbedingungen anzuwenden. Dies gilt nicht, wenn das Tierarzneimittel nach den Artikeln 112 bis 114 der Verordnung (EU) 2019/6 in der Fassung vom 23. November 2022 vom Tierarzt selbst oder auf Grund einer tierärztlichen Behandlungsanweisung angewendet wird.</w:t>
      </w:r>
    </w:p>
    <w:p>
      <w:r>
        <w:t xml:space="preserve">(2) Es ist verboten, ein nach § 4 Absatz 1 freigestelltes Tierarzneimittel bei nicht in § 4 Absatz 1 Nummer 1 Buchstabe a genannten Tierarten anzuwenden.</w:t>
      </w:r>
    </w:p>
    <w:p>
      <w:r>
        <w:t xml:space="preserve">(3) Es ist verboten, ein im Sinne von § 37 Absatz 3 bedenkliches Tierarzneimittel oder veterinärmedizintechnisches Produkt, das keiner Zulassung oder Registrierung bedarf, bei Tieren anzuwenden.</w:t>
      </w:r>
    </w:p>
    <w:p>
      <w:r>
        <w:t xml:space="preserve">(4) Vorbehaltlich des Satzes 2 ist es verboten, Stoffe oder Stoffzusammenstellungen bei Tieren anzuwenden oder Tieren zu verabreichen, um</w:t>
      </w:r>
    </w:p>
    <w:p>
      <w:pPr>
        <w:ind w:left="420"/>
      </w:pPr>
      <w:r>
        <w:t xml:space="preserve">1. Tierkrankheiten zu heilen oder zu verhüten,</w:t>
      </w:r>
    </w:p>
    <w:p>
      <w:pPr>
        <w:ind w:left="420"/>
      </w:pPr>
      <w:r>
        <w:t xml:space="preserve">2. die physiologischen Funktionen durch eine pharmakologische, immunologische oder metabolische Wirkung wiederherzustellen, zu korrigieren oder zu beeinflussen,</w:t>
      </w:r>
    </w:p>
    <w:p>
      <w:pPr>
        <w:ind w:left="420"/>
      </w:pPr>
      <w:r>
        <w:t xml:space="preserve">3. eine medizinische Diagnose zu erstellen oder</w:t>
      </w:r>
    </w:p>
    <w:p>
      <w:pPr>
        <w:ind w:left="420"/>
      </w:pPr>
      <w:r>
        <w:t xml:space="preserve">4. die Tötung durch das Einschläfern eines Tieres durchzuführen.</w:t>
      </w:r>
    </w:p>
    <w:p>
      <w:r>
        <w:t xml:space="preserve">Satz 1 gilt nicht, wenn der Stoff oder die Stoffzusammenstellung</w:t>
      </w:r>
    </w:p>
    <w:p>
      <w:pPr>
        <w:ind w:left="420"/>
      </w:pPr>
      <w:r>
        <w:t xml:space="preserve">1. als Tierarzneimittel oder Arzneimittel zugelassen oder registriert ist,</w:t>
      </w:r>
    </w:p>
    <w:p>
      <w:pPr>
        <w:ind w:left="420"/>
      </w:pPr>
      <w:r>
        <w:t xml:space="preserve">2. als Tierarzneimittel nach § 4 Absatz 1 von der Zulassung freigestellt ist,</w:t>
      </w:r>
    </w:p>
    <w:p>
      <w:pPr>
        <w:ind w:left="420"/>
      </w:pPr>
      <w:r>
        <w:t xml:space="preserve">3. als inaktiviertes immunologisches Tierarzneimittel nach § 35b hergestellt wurde oder</w:t>
      </w:r>
    </w:p>
    <w:p>
      <w:pPr>
        <w:ind w:left="420"/>
      </w:pPr>
      <w:r>
        <w:t xml:space="preserve">4. in einem Tierarzneimittel enthalten ist, das in einem Betrieb hergestellt wurde, der der allgemeinen Anzeigepflicht nach § 79 Absatz 1 unterliegt.</w:t>
      </w:r>
    </w:p>
    <w:p>
      <w:r>
        <w:t xml:space="preserve">(5) Es ist verboten, einem der Gewinnung von Lebensmitteln dienenden Tier pharmakologisch wirksame Stoffe zu verabreichen, wenn diese Stoffe in Tabelle 2 des Anhangs der Verordnung (EU) Nr. 37/2010 in der Fassung vom 24. September 2025 aufgeführt sind.</w:t>
      </w:r>
    </w:p>
    <w:p>
      <w:r>
        <w:rPr>
          <w:color w:val="555555"/>
          <w:sz w:val="17"/>
        </w:rPr>
        <w:t xml:space="preserve">Zitiervorschlag: § 39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