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TAMG — Verbot des Bereitstellens</w:t>
      </w:r>
    </w:p>
    <w:p>
      <w:r>
        <w:rPr>
          <w:color w:val="555555"/>
          <w:sz w:val="18"/>
        </w:rPr>
        <w:t xml:space="preserve">Tierarzneimittelgesetz</w:t>
      </w:r>
    </w:p>
    <w:p>
      <w:r>
        <w:rPr>
          <w:color w:val="555555"/>
          <w:sz w:val="18"/>
        </w:rPr>
        <w:t xml:space="preserve">Stand: 14.08.2026 (konsolidierte Textfassung, kein amtliches Inkrafttretensdatum)</w:t>
      </w:r>
    </w:p>
    <w:p>
      <w:r>
        <w:t xml:space="preserve">(1) Es ist verboten, ein Tierarzneimittel oder ein veterinärmedizintechnisches Produkt ohne die erforderliche Zulassung, Registrierung oder Freistellung in den Verkehr zu bringen oder im Geltungsbereich dieses Gesetzes auf dem Markt bereitzustellen. Inaktivierte immunologische Tierarzneimittel nach Artikel 2 Absatz 3 der Verordnung (EU) 2019/6 in der Fassung vom 23. November 2022 dürfen über § 35f hinaus nicht im Geltungsbereich dieses Gesetzes auf dem Markt bereitgestellt werden.</w:t>
      </w:r>
    </w:p>
    <w:p>
      <w:r>
        <w:t xml:space="preserve">(2) Ein Tierarzneimittel oder ein veterinärmedizintechnisches Produkt, das keiner Zulassung oder Registrierung bedarf, darf nicht in den Verkehr gebracht oder im Geltungsbereich dieses Gesetzes auf dem Markt bereitgestellt werden, wenn es bedenklich ist.</w:t>
      </w:r>
    </w:p>
    <w:p>
      <w:r>
        <w:t xml:space="preserve">(3) Bedenklich ist ein Tierarzneimittel oder ein veterinärmedizintechnisches Produkt, wenn nach dem Stand der veterinärmedizinischen Wissenschaft der begründete Verdacht besteht, dass es bei bestimmungsgemäßem Gebrauch schädliche Wirkungen hat, die über ein nach den Erkenntnissen der veterinärmedizinischen Wissenschaft vertretbares Maß hinausgehen.</w:t>
      </w:r>
    </w:p>
    <w:p>
      <w:r>
        <w:rPr>
          <w:color w:val="555555"/>
          <w:sz w:val="17"/>
        </w:rPr>
        <w:t xml:space="preserve">Zitiervorschlag: § 37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