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35h TAMG — Verordnungsermächtigungen für inaktivierte immunologische Tierarzneimittel nach Artikel 2 Absatz 3 der Verordnung (EU) 2019/6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Das Bundesministerium für Landwirtschaft, Ernährung und Heimat wird ermächtigt, durch Rechtsverordnung mit Zustimmung des Bundesrates weitere Vorschriften zu erlassen über</w:t>
      </w:r>
    </w:p>
    <w:p>
      <w:pPr>
        <w:ind w:left="420"/>
      </w:pPr>
      <w:r>
        <w:t xml:space="preserve">1. das Verfahren zur Erteilung der Herstellungserlaubnis sowie über das Verfahren bei deren Ruhen, Widerruf oder Änderung (§ 35b),</w:t>
      </w:r>
    </w:p>
    <w:p>
      <w:pPr>
        <w:ind w:left="420"/>
      </w:pPr>
      <w:r>
        <w:t xml:space="preserve">2. das innergemeinschaftliche Verbringen (§ 35d), es erforderlichenfalls zu verbieten oder von der Erteilung einer Genehmigung abhängig zu machen,</w:t>
      </w:r>
    </w:p>
    <w:p>
      <w:pPr>
        <w:ind w:left="420"/>
      </w:pPr>
      <w:r>
        <w:t xml:space="preserve">3. das Verfahren der Anzeige (§ 35c) und</w:t>
      </w:r>
    </w:p>
    <w:p>
      <w:pPr>
        <w:ind w:left="420"/>
      </w:pPr>
      <w:r>
        <w:t xml:space="preserve">4. weitere Einzelheiten der Kennzeichnung der Verpackung (§ 35e) und Einzelheiten der Verpackung.</w:t>
      </w:r>
    </w:p>
    <w:p>
      <w:r>
        <w:t xml:space="preserve">(2) Das Bundesministerium für Landwirtschaft, Ernährung und Heimat wird ermächtigt, zur Sicherung der erforderlichen Qualität von inaktivierten immunologischen Tierarzneimitteln nach Artikel 2 Absatz 3 der Verordnung (EU) 2019/6 in der Fassung vom 23. November 2022 durch Rechtsverordnung mit Zustimmung des Bundesrates Vorschriften zu erlassen über</w:t>
      </w:r>
    </w:p>
    <w:p>
      <w:pPr>
        <w:ind w:left="420"/>
      </w:pPr>
      <w:r>
        <w:t xml:space="preserve">1. die Herstellung, die Verpackung und die Abgabe sowie</w:t>
      </w:r>
    </w:p>
    <w:p>
      <w:pPr>
        <w:ind w:left="420"/>
      </w:pPr>
      <w:r>
        <w:t xml:space="preserve">2. die Kennzeichnung der Verpackung und die Packungsbeilage sowie über die Verwendung, Beschaffenheit und Kennzeichnung bestimmter Behältnisse.</w:t>
      </w:r>
    </w:p>
    <w:p>
      <w:r>
        <w:rPr>
          <w:color w:val="555555"/>
          <w:sz w:val="17"/>
        </w:rPr>
        <w:t xml:space="preserve">Zitiervorschlag: § 35h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https://recht.nulegal.eu/gesetze/TAMG/35h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