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35g TAMG — Wartezeit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Die behandelnde Tierärztin oder der behandelnde Tierarzt hat bei der Festlegung der Wartezeit nach Artikel 105 Absatz 5 Buchstabe j der Verordnung (EU) 2019/6 in der Fassung vom 23. November 2022 für ein inaktiviertes immunologisches Tierarzneimittel nach Artikel 2 Absatz 3 in Verbindung mit Artikel 106 Absatz 5 der Verordnung (EU) 2019/6 in der Fassung vom 23. November 2022 zur Anwendung bei Tieren, die der Gewinnung von Lebensmitteln dienen, Folgendes zu berücksichtigen:</w:t>
      </w:r>
    </w:p>
    <w:p>
      <w:pPr>
        <w:ind w:left="420"/>
      </w:pPr>
      <w:r>
        <w:t xml:space="preserve">1. die nach § 35e Absatz 1 Nummer 6 empfohlene Wartezeit und</w:t>
      </w:r>
    </w:p>
    <w:p>
      <w:pPr>
        <w:ind w:left="420"/>
      </w:pPr>
      <w:r>
        <w:t xml:space="preserve">2. die Rückstandshöchstwerte nach der Tabelle 1 des Anhangs der Verordnung (EU) Nr. 37/2010 in der Fassung vom 24. September 2025.</w:t>
      </w:r>
    </w:p>
    <w:p>
      <w:r>
        <w:t xml:space="preserve">Die behandelnde Tierärztin oder der behandelnde Tierarzt hat über die Ermittlung der Wartezeit Aufzeichnungen zu machen.</w:t>
      </w:r>
    </w:p>
    <w:p>
      <w:r>
        <w:rPr>
          <w:color w:val="555555"/>
          <w:sz w:val="17"/>
        </w:rPr>
        <w:t xml:space="preserve">Zitiervorschlag: § 35g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https://recht.nulegal.eu/gesetze/TAMG/35g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