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35d TAMG — Einfuhr, Ausfuhr und Verbringen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Einfuhr von inaktivierten immunologischen Tierarzneimitteln nach Artikel 2 Absatz 3 der Verordnung (EU) 2019/6 in der Fassung vom 23. November 2022 ist verboten.</w:t>
      </w:r>
    </w:p>
    <w:p>
      <w:r>
        <w:t xml:space="preserve">(2) Für die Ausfuhr von inaktivierten immunologischen Tierarzneimitteln nach Artikel 2 Absatz 3 der Verordnung (EU) 2019/6 in der Fassung vom 23. November 2022 gilt Artikel 88 Absatz 1 Buchstabe a und b der Verordnung (EU) 2019/6 in der Fassung vom 23. November 2022 entsprechend. Die zuständige Behörde des Landes, in dem die Betriebsstätte liegt oder liegen soll, erteilt auf Antrag die Erlaubnis in einem Kapitel VI der Verordnung (EU) 2019/6 in der Fassung vom 23. November 2022 entsprechenden Verfahren. Die §§ 15 und 17 sind entsprechend anzuwenden.</w:t>
      </w:r>
    </w:p>
    <w:p>
      <w:r>
        <w:t xml:space="preserve">(3) Das innergemeinschaftliche Verbringen sowie der Empfang von inaktivierten immunologischen Tierarzneimitteln nach Artikel 2 Absatz 3 der Verordnung (EU) 2019/6 in der Fassung vom 23. November 2022 ist nur durch Tierärztinnen und Tierärzte zulässig, die diese Tierarzneimittel zur Behandlung von Tieren im Sinne des Artikels 2 Absatz 3 der Verordnung (EU) 2019/6 in der Fassung vom 23. November 2022 angefordert haben. § 35c Absatz 1 und 2 gilt für die behandelnde Tierärztin oder den behandelnden Tierarzt, die oder der inaktivierte immunologische Tierarzneimittel nach Artikel 2 Absatz 3 der Verordnung (EU) 2019/6 in der Fassung vom 23. November 2022 empfängt, entsprechend.</w:t>
      </w:r>
    </w:p>
    <w:p>
      <w:r>
        <w:rPr>
          <w:color w:val="555555"/>
          <w:sz w:val="17"/>
        </w:rPr>
        <w:t xml:space="preserve">Zitiervorschlag: § 35d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https://recht.nulegal.eu/gesetze/TAMG/35d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