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35a TAMG — Verschreibungspflicht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Inaktivierte immunologische Tierarzneimittel nach Artikel 2 Absatz 3 der Verordnung (EU) 2019/6 in der Fassung vom 23. November 2022 sind stets verschreibungspflichtig.</w:t>
      </w:r>
    </w:p>
    <w:p>
      <w:r>
        <w:t xml:space="preserve">(2) Die in Absatz 1 genannten Tierarzneimittel dürfen von der Tierärztin oder dem Tierarzt für die in Artikel 2 Absatz 3 der Verordnung (EU) 2019/6 in der Fassung vom 23. November 2022 genannten Tiere nur verschrieben werden, wenn</w:t>
      </w:r>
    </w:p>
    <w:p>
      <w:pPr>
        <w:ind w:left="420"/>
      </w:pPr>
      <w:r>
        <w:t xml:space="preserve">1. außergewöhnliche Umstände vorliegen und</w:t>
      </w:r>
    </w:p>
    <w:p>
      <w:pPr>
        <w:ind w:left="420"/>
      </w:pPr>
      <w:r>
        <w:t xml:space="preserve">2. kein immunologisches Tierarzneimittel für diese Zieltierart und dieses Anwendungsgebiet zugelassen ist.</w:t>
      </w:r>
    </w:p>
    <w:p>
      <w:r>
        <w:rPr>
          <w:color w:val="555555"/>
          <w:sz w:val="17"/>
        </w:rPr>
        <w:t xml:space="preserve">Zitiervorschlag: § 35a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