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TAMG — Pharmakovigilanz</w:t>
      </w:r>
    </w:p>
    <w:p>
      <w:r>
        <w:rPr>
          <w:color w:val="555555"/>
          <w:sz w:val="18"/>
        </w:rPr>
        <w:t xml:space="preserve">Tierarzneimittelgesetz</w:t>
      </w:r>
    </w:p>
    <w:p>
      <w:r>
        <w:rPr>
          <w:color w:val="555555"/>
          <w:sz w:val="18"/>
        </w:rPr>
        <w:t xml:space="preserve">Stand: 14.08.2026 (konsolidierte Textfassung, kein amtliches Inkrafttretensdatum)</w:t>
      </w:r>
    </w:p>
    <w:p>
      <w:r>
        <w:t xml:space="preserve">Für Tätigkeiten im Zusammenhang mit der Pharmakovigilanz zur Erkennung, zur Bewertung, zum Verständnis und zur Verhütung mutmaßlich unerwünschter Ereignisse oder anderer Probleme im Zusammenhang mit einem zugelassenen Tierarzneimittel oder veterinärmedizintechnischen Produkt ist Kapitel IV Abschnitt 5 der Verordnung (EU) 2019/6 in der Fassung vom 23. November 2022 entsprechend anzuwenden.</w:t>
      </w:r>
    </w:p>
    <w:p>
      <w:r>
        <w:rPr>
          <w:color w:val="555555"/>
          <w:sz w:val="17"/>
        </w:rPr>
        <w:t xml:space="preserve">Zitiervorschlag: § 34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