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TAMG — Tierärztliche Verschreibungen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nach § 24 Absatz 1 und 2 verschreibungspflichtigen Tierarzneimittel und veterinärmedizintechnischen Produkte bedürfen der tierärztlichen Verschreibung.</w:t>
      </w:r>
    </w:p>
    <w:p>
      <w:r>
        <w:t xml:space="preserve">(2) Für den Inhalt der tierärztlichen Verschreibung ist Artikel 105 Absatz 5 Verordnung (EU) 2019/6 in der Fassung vom 23. November 2022 entsprechend anzuwenden.</w:t>
      </w:r>
    </w:p>
    <w:p>
      <w:r>
        <w:rPr>
          <w:color w:val="555555"/>
          <w:sz w:val="17"/>
        </w:rPr>
        <w:t xml:space="preserve">Zitiervorschlag: § 31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