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 TAMG — Kennzeichnung und Packungsbeilage von nach § 22 zulassungspflichtigen Tierarzneimitteln und veterinärmedizintechnischen Produkten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Die nach § 22 Absatz 1 zulassungspflichtigen Tierarzneimittel und veterinärmedizintechnischen Produkte dürfen im Geltungsbereich dieses Gesetzes nur bereitgestellt werden, wenn ihre Kennzeichnung und ihre Packungsbeilage den folgenden Vorgaben entsprechend gestaltet sind:</w:t>
      </w:r>
    </w:p>
    <w:p>
      <w:pPr>
        <w:ind w:left="420"/>
      </w:pPr>
      <w:r>
        <w:t xml:space="preserve">1. der Papierform der Packungsbeilage nach § 8,</w:t>
      </w:r>
    </w:p>
    <w:p>
      <w:pPr>
        <w:ind w:left="420"/>
      </w:pPr>
      <w:r>
        <w:t xml:space="preserve">2. Artikel 10 Absatz 1, Artikel 11 Absatz 1, Artikel 12 Absatz 1 und Artikel 14 Absatz 1 Satz 2 der Verordnung (EU) 2019/6 in der Fassung vom 23. November 2022 sowie</w:t>
      </w:r>
    </w:p>
    <w:p>
      <w:pPr>
        <w:ind w:left="420"/>
      </w:pPr>
      <w:r>
        <w:t xml:space="preserve">3. den sonstigen Vorschriften des Kapitels II Abschnitt 4 der Verordnung (EU) 2019/6 in der Fassung vom 23. November 2022.</w:t>
      </w:r>
    </w:p>
    <w:p>
      <w:r>
        <w:t xml:space="preserve">Im Übrigen ist § 7 Absatz 2 entsprechend anzuwenden.</w:t>
      </w:r>
    </w:p>
    <w:p>
      <w:r>
        <w:rPr>
          <w:color w:val="555555"/>
          <w:sz w:val="17"/>
        </w:rPr>
        <w:t xml:space="preserve">Zitiervorschlag: § 26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