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TAMG — Einstufung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zuständige Bundesoberbehörde stuft ein nach § 22 Absatz 1 zulassungspflichtiges Tierarzneimittel aus den in Artikel 34 Absatz 1 der Verordnung (EU) 2019/6 in der Fassung vom 23. November 2022 genannten Gründen als verschreibungspflichtig ein. Sie kann aus den in Artikel 34 Absatz 2 der Verordnung (EU) 2019/6 in der Fassung vom 23. November 2022 genannten Gründen ein Tierarzneimittel als verschreibungspflichtig einstufen.</w:t>
      </w:r>
    </w:p>
    <w:p>
      <w:r>
        <w:t xml:space="preserve">(2) Die zuständige Bundesoberbehörde stuft ein nach § 22 Absatz 1 zulassungspflichtiges veterinärmedizintechnisches Produkt im Sinne von § 3 Absatz 3 Nummer 1 aus den in Artikel 34 Absatz 1 der Verordnung (EU) 2019/6 in der Fassung vom 23. November 2022 genannten Gründen als verschreibungspflichtig ein. Die zuständige Bundesoberbehörde kann entsprechend den in Artikel 34 Absatz 2 der Verordnung (EU) 2019/6 in der Fassung vom 23. November 2022 genannten Gründen ein veterinärmedizintechnisches Produkt als verschreibungspflichtig einstufen.</w:t>
      </w:r>
    </w:p>
    <w:p>
      <w:r>
        <w:t xml:space="preserve">(3) Abweichend von Absatz 1 und 2 kann die zuständige Bundesoberbehörde aus den in Artikel 34 Absatz 3 der Verordnung (EU) 2019/6 in der Fassung vom 23. November 2022 genannten Gründen von einer Einstufung als verschreibungspflichtig absehen, wenn die Bedingungen des Artikels 34 Absatz 3 der Verordnung (EU) 2019/6 in der Fassung vom 23. November 2022 erfüllt sind.</w:t>
      </w:r>
    </w:p>
    <w:p>
      <w:r>
        <w:rPr>
          <w:color w:val="555555"/>
          <w:sz w:val="17"/>
        </w:rPr>
        <w:t xml:space="preserve">Zitiervorschlag: § 24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