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TAMG — Verordnungsermächtigung zur Regelung des Parallelhandels mit Tierarzneimitteln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Das Bundesministerium für Ernährung und Landwirtschaft wird ermächtigt, im Einvernehmen mit dem Bundesministerium für Gesundheit durch Rechtsverordnung mit Zustimmung des Bundesrates die weiteren Einzelheiten über das Verfahren zu regeln für</w:t>
      </w:r>
    </w:p>
    <w:p>
      <w:pPr>
        <w:ind w:left="420"/>
      </w:pPr>
      <w:r>
        <w:t xml:space="preserve">1. die Festlegung administrativer Abläufe für den Parallelhandel mit Tierarzneimitteln nach Artikel 102 Absatz 3 der Verordnung (EU) 2019/6 in der Fassung vom 23. November 2022 und</w:t>
      </w:r>
    </w:p>
    <w:p>
      <w:pPr>
        <w:ind w:left="420"/>
      </w:pPr>
      <w:r>
        <w:t xml:space="preserve">2. die Genehmigung eines Antrags auf Parallelhandel nach Artikel 102 Absatz 3 der Verordnung (EU) 2019/6 in der Fassung vom 23. November 2022, einschließlich der Rücknahme, des Widerrufs und des Ruhens der Genehmigung.</w:t>
      </w:r>
    </w:p>
    <w:p>
      <w:r>
        <w:t xml:space="preserve">Das Bundesministerium für Ernährung und Landwirtschaft kann dabei insbesondere die Art und Weise der Weiterleitung von Unterlagen an die zuständigen Behörden bestimmen sowie vorschreiben, dass die Unterlagen elektronisch eingereicht werden.</w:t>
      </w:r>
    </w:p>
    <w:p>
      <w:r>
        <w:t xml:space="preserve">(2) Das Bundesministerium für Ernährung und Landwirtschaft kann die Ermächtigung nach Absatz 1 im Einvernehmen mit dem Bundesministerium für Gesundheit durch Rechtsverordnung ohne Zustimmung des Bundesrates auf die zuständige Bundesoberbehörde übertragen.</w:t>
      </w:r>
    </w:p>
    <w:p>
      <w:r>
        <w:rPr>
          <w:color w:val="555555"/>
          <w:sz w:val="17"/>
        </w:rPr>
        <w:t xml:space="preserve">Zitiervorschlag: § 21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